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2E2" w:rsidRPr="0064181E" w:rsidRDefault="0057350F" w:rsidP="00313772">
      <w:pPr>
        <w:pStyle w:val="Heading1"/>
        <w:rPr>
          <w:szCs w:val="24"/>
        </w:rPr>
      </w:pPr>
      <w:r>
        <w:rPr>
          <w:szCs w:val="24"/>
        </w:rPr>
        <w:t>S</w:t>
      </w:r>
      <w:r w:rsidR="00A2676B">
        <w:rPr>
          <w:szCs w:val="24"/>
        </w:rPr>
        <w:t xml:space="preserve">TATE </w:t>
      </w:r>
      <w:r w:rsidR="007772E2" w:rsidRPr="0064181E">
        <w:rPr>
          <w:szCs w:val="24"/>
        </w:rPr>
        <w:t>WAIVER REQUEST</w:t>
      </w:r>
    </w:p>
    <w:p w:rsidR="007772E2" w:rsidRDefault="007772E2" w:rsidP="007772E2">
      <w:pPr>
        <w:rPr>
          <w:b/>
          <w:sz w:val="24"/>
          <w:szCs w:val="24"/>
        </w:rPr>
      </w:pPr>
    </w:p>
    <w:p w:rsidR="006B28CB" w:rsidRPr="0064181E" w:rsidRDefault="006B28CB" w:rsidP="007772E2">
      <w:pPr>
        <w:rPr>
          <w:b/>
          <w:sz w:val="24"/>
          <w:szCs w:val="24"/>
        </w:rPr>
      </w:pPr>
    </w:p>
    <w:p w:rsidR="00C327F6" w:rsidRDefault="00C327F6" w:rsidP="007772E2">
      <w:pPr>
        <w:numPr>
          <w:ilvl w:val="0"/>
          <w:numId w:val="1"/>
        </w:numPr>
        <w:rPr>
          <w:b/>
          <w:sz w:val="24"/>
          <w:szCs w:val="24"/>
        </w:rPr>
      </w:pPr>
      <w:r>
        <w:rPr>
          <w:b/>
          <w:sz w:val="24"/>
          <w:szCs w:val="24"/>
        </w:rPr>
        <w:t>Waiver Serial Number (if applicable):</w:t>
      </w:r>
      <w:r w:rsidR="00600C5C">
        <w:rPr>
          <w:b/>
          <w:sz w:val="24"/>
          <w:szCs w:val="24"/>
        </w:rPr>
        <w:t xml:space="preserve"> </w:t>
      </w:r>
    </w:p>
    <w:p w:rsidR="00B9231B" w:rsidRDefault="00B9231B" w:rsidP="00B9231B">
      <w:pPr>
        <w:ind w:left="420"/>
        <w:rPr>
          <w:b/>
          <w:sz w:val="24"/>
          <w:szCs w:val="24"/>
        </w:rPr>
      </w:pPr>
    </w:p>
    <w:p w:rsidR="007772E2" w:rsidRPr="008C3B5E" w:rsidRDefault="005D0579" w:rsidP="007772E2">
      <w:pPr>
        <w:numPr>
          <w:ilvl w:val="0"/>
          <w:numId w:val="1"/>
        </w:numPr>
        <w:rPr>
          <w:sz w:val="24"/>
          <w:szCs w:val="24"/>
        </w:rPr>
      </w:pPr>
      <w:r>
        <w:rPr>
          <w:b/>
          <w:sz w:val="24"/>
          <w:szCs w:val="24"/>
        </w:rPr>
        <w:t>Type of r</w:t>
      </w:r>
      <w:r w:rsidR="007772E2" w:rsidRPr="0064181E">
        <w:rPr>
          <w:b/>
          <w:sz w:val="24"/>
          <w:szCs w:val="24"/>
        </w:rPr>
        <w:t xml:space="preserve">equest: </w:t>
      </w:r>
      <w:r w:rsidR="00A2676B">
        <w:rPr>
          <w:b/>
          <w:sz w:val="24"/>
          <w:szCs w:val="24"/>
        </w:rPr>
        <w:t xml:space="preserve"> </w:t>
      </w:r>
      <w:r w:rsidR="008C3B5E" w:rsidRPr="008C3B5E">
        <w:rPr>
          <w:sz w:val="24"/>
          <w:szCs w:val="24"/>
        </w:rPr>
        <w:t>Extension and Modification</w:t>
      </w:r>
    </w:p>
    <w:p w:rsidR="00E501DD" w:rsidRDefault="00E501DD">
      <w:pPr>
        <w:ind w:left="420"/>
        <w:rPr>
          <w:b/>
          <w:sz w:val="24"/>
          <w:szCs w:val="24"/>
        </w:rPr>
      </w:pPr>
    </w:p>
    <w:p w:rsidR="007772E2" w:rsidRPr="0064181E" w:rsidRDefault="005D0579" w:rsidP="007772E2">
      <w:pPr>
        <w:numPr>
          <w:ilvl w:val="0"/>
          <w:numId w:val="1"/>
        </w:numPr>
        <w:rPr>
          <w:b/>
          <w:sz w:val="24"/>
          <w:szCs w:val="24"/>
        </w:rPr>
      </w:pPr>
      <w:r>
        <w:rPr>
          <w:b/>
          <w:sz w:val="24"/>
          <w:szCs w:val="24"/>
        </w:rPr>
        <w:t>Regulatory c</w:t>
      </w:r>
      <w:r w:rsidR="007772E2" w:rsidRPr="0064181E">
        <w:rPr>
          <w:b/>
          <w:sz w:val="24"/>
          <w:szCs w:val="24"/>
        </w:rPr>
        <w:t>itation:</w:t>
      </w:r>
      <w:r w:rsidR="00600C5C">
        <w:rPr>
          <w:sz w:val="24"/>
          <w:szCs w:val="24"/>
        </w:rPr>
        <w:t xml:space="preserve">  </w:t>
      </w:r>
      <w:r w:rsidR="008C3B5E">
        <w:rPr>
          <w:sz w:val="24"/>
          <w:szCs w:val="24"/>
        </w:rPr>
        <w:t>7 CFR 273.24</w:t>
      </w:r>
    </w:p>
    <w:p w:rsidR="00E501DD" w:rsidRDefault="00E501DD">
      <w:pPr>
        <w:pStyle w:val="ListParagraph"/>
        <w:ind w:left="420"/>
        <w:rPr>
          <w:b/>
          <w:sz w:val="24"/>
          <w:szCs w:val="24"/>
        </w:rPr>
      </w:pPr>
    </w:p>
    <w:p w:rsidR="007772E2" w:rsidRPr="008C3B5E" w:rsidRDefault="00600C5C" w:rsidP="007772E2">
      <w:pPr>
        <w:numPr>
          <w:ilvl w:val="0"/>
          <w:numId w:val="1"/>
        </w:numPr>
        <w:rPr>
          <w:sz w:val="24"/>
          <w:szCs w:val="24"/>
        </w:rPr>
      </w:pPr>
      <w:r>
        <w:rPr>
          <w:b/>
          <w:sz w:val="24"/>
          <w:szCs w:val="24"/>
        </w:rPr>
        <w:t xml:space="preserve">State:  </w:t>
      </w:r>
      <w:r w:rsidR="008C3B5E" w:rsidRPr="008C3B5E">
        <w:rPr>
          <w:sz w:val="24"/>
          <w:szCs w:val="24"/>
        </w:rPr>
        <w:t>New York</w:t>
      </w:r>
    </w:p>
    <w:p w:rsidR="00E501DD" w:rsidRDefault="00E501DD">
      <w:pPr>
        <w:ind w:left="420"/>
        <w:rPr>
          <w:sz w:val="24"/>
          <w:szCs w:val="24"/>
        </w:rPr>
      </w:pPr>
    </w:p>
    <w:p w:rsidR="00E96206" w:rsidRPr="008C3B5E" w:rsidRDefault="007772E2" w:rsidP="00E96206">
      <w:pPr>
        <w:numPr>
          <w:ilvl w:val="0"/>
          <w:numId w:val="1"/>
        </w:numPr>
        <w:rPr>
          <w:sz w:val="24"/>
          <w:szCs w:val="24"/>
        </w:rPr>
      </w:pPr>
      <w:r w:rsidRPr="0064181E">
        <w:rPr>
          <w:b/>
          <w:sz w:val="24"/>
          <w:szCs w:val="24"/>
        </w:rPr>
        <w:t>Region:</w:t>
      </w:r>
      <w:r w:rsidR="00600C5C">
        <w:rPr>
          <w:b/>
          <w:sz w:val="24"/>
          <w:szCs w:val="24"/>
        </w:rPr>
        <w:t xml:space="preserve"> </w:t>
      </w:r>
      <w:r w:rsidRPr="0064181E">
        <w:rPr>
          <w:b/>
          <w:sz w:val="24"/>
          <w:szCs w:val="24"/>
        </w:rPr>
        <w:t xml:space="preserve"> </w:t>
      </w:r>
      <w:r w:rsidR="008C3B5E" w:rsidRPr="008C3B5E">
        <w:rPr>
          <w:sz w:val="24"/>
          <w:szCs w:val="24"/>
        </w:rPr>
        <w:t>NERO</w:t>
      </w:r>
    </w:p>
    <w:p w:rsidR="00E501DD" w:rsidRDefault="00E501DD">
      <w:pPr>
        <w:ind w:left="420"/>
        <w:rPr>
          <w:b/>
          <w:sz w:val="24"/>
          <w:szCs w:val="24"/>
        </w:rPr>
      </w:pPr>
    </w:p>
    <w:p w:rsidR="008C3B5E" w:rsidRPr="00AE3E77" w:rsidRDefault="007772E2" w:rsidP="008C3B5E">
      <w:pPr>
        <w:numPr>
          <w:ilvl w:val="0"/>
          <w:numId w:val="1"/>
        </w:numPr>
        <w:rPr>
          <w:sz w:val="24"/>
          <w:szCs w:val="24"/>
        </w:rPr>
      </w:pPr>
      <w:r w:rsidRPr="00E96206">
        <w:rPr>
          <w:b/>
          <w:sz w:val="24"/>
          <w:szCs w:val="24"/>
        </w:rPr>
        <w:t xml:space="preserve">Regulatory </w:t>
      </w:r>
      <w:r w:rsidR="005D0579">
        <w:rPr>
          <w:b/>
          <w:sz w:val="24"/>
          <w:szCs w:val="24"/>
        </w:rPr>
        <w:t>r</w:t>
      </w:r>
      <w:r w:rsidRPr="00E96206">
        <w:rPr>
          <w:b/>
          <w:sz w:val="24"/>
          <w:szCs w:val="24"/>
        </w:rPr>
        <w:t>equirements:</w:t>
      </w:r>
      <w:r w:rsidR="00600C5C">
        <w:rPr>
          <w:b/>
          <w:sz w:val="24"/>
          <w:szCs w:val="24"/>
        </w:rPr>
        <w:t xml:space="preserve">  </w:t>
      </w:r>
      <w:r w:rsidR="008C3B5E" w:rsidRPr="001930AA">
        <w:rPr>
          <w:sz w:val="24"/>
          <w:szCs w:val="24"/>
        </w:rPr>
        <w:t xml:space="preserve">Under 7 CFR 273.24(b) individuals </w:t>
      </w:r>
      <w:r w:rsidR="00D00976">
        <w:rPr>
          <w:sz w:val="24"/>
          <w:szCs w:val="24"/>
        </w:rPr>
        <w:t xml:space="preserve">who are determined to be an Able Bodied Adult Without Dependents (ABAWDs) </w:t>
      </w:r>
      <w:r w:rsidR="008C3B5E" w:rsidRPr="001930AA">
        <w:rPr>
          <w:sz w:val="24"/>
          <w:szCs w:val="24"/>
        </w:rPr>
        <w:t>are not eligible to participate in the Supplemental Nutrition Assistance Program (SNAP) as a member of any household if</w:t>
      </w:r>
      <w:r w:rsidR="008C3B5E">
        <w:rPr>
          <w:sz w:val="24"/>
          <w:szCs w:val="24"/>
        </w:rPr>
        <w:t xml:space="preserve"> </w:t>
      </w:r>
      <w:r w:rsidR="008C3B5E" w:rsidRPr="00AE3E77">
        <w:rPr>
          <w:sz w:val="24"/>
          <w:szCs w:val="24"/>
        </w:rPr>
        <w:t>the individual</w:t>
      </w:r>
      <w:r w:rsidR="008C3B5E">
        <w:rPr>
          <w:sz w:val="24"/>
          <w:szCs w:val="24"/>
        </w:rPr>
        <w:t xml:space="preserve"> </w:t>
      </w:r>
      <w:r w:rsidR="008C3B5E" w:rsidRPr="00AE3E77">
        <w:rPr>
          <w:sz w:val="24"/>
          <w:szCs w:val="24"/>
        </w:rPr>
        <w:t>received program benefits for more than 3 months during any 3 year period in</w:t>
      </w:r>
      <w:r w:rsidR="008C3B5E">
        <w:rPr>
          <w:sz w:val="24"/>
          <w:szCs w:val="24"/>
        </w:rPr>
        <w:t xml:space="preserve"> </w:t>
      </w:r>
      <w:r w:rsidR="008C3B5E" w:rsidRPr="00AE3E77">
        <w:rPr>
          <w:sz w:val="24"/>
          <w:szCs w:val="24"/>
        </w:rPr>
        <w:t>which the individual was subject to, but did not comply with</w:t>
      </w:r>
      <w:r w:rsidR="008C3B5E">
        <w:rPr>
          <w:sz w:val="24"/>
          <w:szCs w:val="24"/>
        </w:rPr>
        <w:t>,</w:t>
      </w:r>
      <w:r w:rsidR="008C3B5E" w:rsidRPr="00AE3E77">
        <w:rPr>
          <w:sz w:val="24"/>
          <w:szCs w:val="24"/>
        </w:rPr>
        <w:t xml:space="preserve"> the SNAP </w:t>
      </w:r>
      <w:r w:rsidR="00E73DA7">
        <w:rPr>
          <w:sz w:val="24"/>
          <w:szCs w:val="24"/>
        </w:rPr>
        <w:t xml:space="preserve">ABAWD </w:t>
      </w:r>
      <w:r w:rsidR="008C3B5E" w:rsidRPr="00AE3E77">
        <w:rPr>
          <w:sz w:val="24"/>
          <w:szCs w:val="24"/>
        </w:rPr>
        <w:t>work</w:t>
      </w:r>
      <w:r w:rsidR="008C3B5E">
        <w:rPr>
          <w:sz w:val="24"/>
          <w:szCs w:val="24"/>
        </w:rPr>
        <w:t xml:space="preserve"> </w:t>
      </w:r>
      <w:r w:rsidR="008C3B5E" w:rsidRPr="00AE3E77">
        <w:rPr>
          <w:sz w:val="24"/>
          <w:szCs w:val="24"/>
        </w:rPr>
        <w:t xml:space="preserve">requirements. </w:t>
      </w:r>
      <w:r w:rsidR="00D00976">
        <w:rPr>
          <w:sz w:val="24"/>
          <w:szCs w:val="24"/>
        </w:rPr>
        <w:t xml:space="preserve"> </w:t>
      </w:r>
      <w:r w:rsidR="008C3B5E" w:rsidRPr="00AE3E77">
        <w:rPr>
          <w:sz w:val="24"/>
          <w:szCs w:val="24"/>
        </w:rPr>
        <w:t>Regulations at 273.24(a) provide that fulfilling the work</w:t>
      </w:r>
      <w:r w:rsidR="008C3B5E">
        <w:rPr>
          <w:sz w:val="24"/>
          <w:szCs w:val="24"/>
        </w:rPr>
        <w:t xml:space="preserve"> </w:t>
      </w:r>
      <w:r w:rsidR="008C3B5E" w:rsidRPr="00AE3E77">
        <w:rPr>
          <w:sz w:val="24"/>
          <w:szCs w:val="24"/>
        </w:rPr>
        <w:t xml:space="preserve">requirement means: </w:t>
      </w:r>
      <w:r w:rsidR="00C07BEE">
        <w:rPr>
          <w:sz w:val="24"/>
          <w:szCs w:val="24"/>
        </w:rPr>
        <w:t xml:space="preserve"> </w:t>
      </w:r>
      <w:r w:rsidR="008C3B5E" w:rsidRPr="00AE3E77">
        <w:rPr>
          <w:sz w:val="24"/>
          <w:szCs w:val="24"/>
        </w:rPr>
        <w:t>working 20 hours or more per week, averaged monthly;</w:t>
      </w:r>
      <w:r w:rsidR="008C3B5E">
        <w:rPr>
          <w:sz w:val="24"/>
          <w:szCs w:val="24"/>
        </w:rPr>
        <w:t xml:space="preserve"> </w:t>
      </w:r>
      <w:r w:rsidR="008C3B5E" w:rsidRPr="00AE3E77">
        <w:rPr>
          <w:sz w:val="24"/>
          <w:szCs w:val="24"/>
        </w:rPr>
        <w:t>participating in and complying with the requirements of a work program or a</w:t>
      </w:r>
      <w:r w:rsidR="008C3B5E">
        <w:rPr>
          <w:sz w:val="24"/>
          <w:szCs w:val="24"/>
        </w:rPr>
        <w:t xml:space="preserve"> </w:t>
      </w:r>
      <w:r w:rsidR="008C3B5E" w:rsidRPr="00AE3E77">
        <w:rPr>
          <w:sz w:val="24"/>
          <w:szCs w:val="24"/>
        </w:rPr>
        <w:t>workfare program for at least 20 hours per week; or any combination of</w:t>
      </w:r>
      <w:r w:rsidR="008C3B5E">
        <w:rPr>
          <w:sz w:val="24"/>
          <w:szCs w:val="24"/>
        </w:rPr>
        <w:t xml:space="preserve"> </w:t>
      </w:r>
      <w:r w:rsidR="008C3B5E" w:rsidRPr="00AE3E77">
        <w:rPr>
          <w:sz w:val="24"/>
          <w:szCs w:val="24"/>
        </w:rPr>
        <w:t>working and participating in a work program for a total of</w:t>
      </w:r>
      <w:r w:rsidR="008C3B5E">
        <w:rPr>
          <w:sz w:val="24"/>
          <w:szCs w:val="24"/>
        </w:rPr>
        <w:t xml:space="preserve"> </w:t>
      </w:r>
      <w:r w:rsidR="008C3B5E" w:rsidRPr="00AE3E77">
        <w:rPr>
          <w:sz w:val="24"/>
          <w:szCs w:val="24"/>
        </w:rPr>
        <w:t>20 hours per week</w:t>
      </w:r>
      <w:r w:rsidR="008C3B5E">
        <w:rPr>
          <w:sz w:val="24"/>
          <w:szCs w:val="24"/>
        </w:rPr>
        <w:t>; or participating in and complying with a workfare program</w:t>
      </w:r>
      <w:r w:rsidR="008C3B5E" w:rsidRPr="00AE3E77">
        <w:rPr>
          <w:sz w:val="24"/>
          <w:szCs w:val="24"/>
        </w:rPr>
        <w:t>.</w:t>
      </w:r>
    </w:p>
    <w:p w:rsidR="008C3B5E" w:rsidRPr="00567C9A" w:rsidRDefault="008C3B5E" w:rsidP="008C3B5E">
      <w:pPr>
        <w:ind w:left="420"/>
        <w:rPr>
          <w:sz w:val="24"/>
          <w:szCs w:val="24"/>
        </w:rPr>
      </w:pPr>
    </w:p>
    <w:p w:rsidR="00E96206" w:rsidRPr="008C3B5E" w:rsidRDefault="008C3B5E" w:rsidP="008C3B5E">
      <w:pPr>
        <w:ind w:left="420"/>
        <w:rPr>
          <w:sz w:val="24"/>
          <w:szCs w:val="24"/>
        </w:rPr>
      </w:pPr>
      <w:r w:rsidRPr="00567C9A">
        <w:rPr>
          <w:sz w:val="24"/>
          <w:szCs w:val="24"/>
        </w:rPr>
        <w:t xml:space="preserve">Under 7 CFR 273.24(f), upon the request of a State agency, the Food and Nutrition Service (FNS) may waive the applicability of the </w:t>
      </w:r>
      <w:r>
        <w:rPr>
          <w:sz w:val="24"/>
          <w:szCs w:val="24"/>
        </w:rPr>
        <w:t>time limit described above</w:t>
      </w:r>
      <w:r w:rsidRPr="00567C9A">
        <w:rPr>
          <w:sz w:val="24"/>
          <w:szCs w:val="24"/>
        </w:rPr>
        <w:t xml:space="preserve"> for any group of individuals in the State if FNS makes a determination that the area in which the individuals reside does not have a sufficient number of jobs to provide employment for the individuals.</w:t>
      </w:r>
      <w:r>
        <w:rPr>
          <w:sz w:val="24"/>
          <w:szCs w:val="24"/>
        </w:rPr>
        <w:t xml:space="preserve"> </w:t>
      </w:r>
    </w:p>
    <w:p w:rsidR="00E501DD" w:rsidRDefault="00E501DD">
      <w:pPr>
        <w:ind w:left="420"/>
        <w:rPr>
          <w:b/>
          <w:sz w:val="24"/>
          <w:szCs w:val="24"/>
        </w:rPr>
      </w:pPr>
    </w:p>
    <w:p w:rsidR="004051B1" w:rsidRDefault="007772E2" w:rsidP="00292FB4">
      <w:pPr>
        <w:ind w:left="420"/>
        <w:rPr>
          <w:b/>
          <w:sz w:val="24"/>
          <w:szCs w:val="24"/>
        </w:rPr>
      </w:pPr>
      <w:r w:rsidRPr="00E96206">
        <w:rPr>
          <w:b/>
          <w:sz w:val="24"/>
          <w:szCs w:val="24"/>
        </w:rPr>
        <w:t xml:space="preserve">Description of </w:t>
      </w:r>
      <w:r w:rsidR="005D0579">
        <w:rPr>
          <w:b/>
          <w:sz w:val="24"/>
          <w:szCs w:val="24"/>
        </w:rPr>
        <w:t>alternative p</w:t>
      </w:r>
      <w:r w:rsidRPr="00E96206">
        <w:rPr>
          <w:b/>
          <w:sz w:val="24"/>
          <w:szCs w:val="24"/>
        </w:rPr>
        <w:t>rocedures:</w:t>
      </w:r>
      <w:r w:rsidR="00600C5C">
        <w:rPr>
          <w:b/>
          <w:sz w:val="24"/>
          <w:szCs w:val="24"/>
        </w:rPr>
        <w:t xml:space="preserve">  </w:t>
      </w:r>
    </w:p>
    <w:p w:rsidR="004051B1" w:rsidRDefault="004051B1" w:rsidP="00292FB4">
      <w:pPr>
        <w:ind w:left="420"/>
        <w:rPr>
          <w:b/>
          <w:sz w:val="24"/>
          <w:szCs w:val="24"/>
        </w:rPr>
      </w:pPr>
    </w:p>
    <w:p w:rsidR="00292FB4" w:rsidRDefault="008C3B5E" w:rsidP="00183C13">
      <w:pPr>
        <w:ind w:left="450"/>
        <w:rPr>
          <w:sz w:val="24"/>
          <w:szCs w:val="24"/>
        </w:rPr>
      </w:pPr>
      <w:r w:rsidRPr="000A2E7F">
        <w:rPr>
          <w:sz w:val="24"/>
          <w:szCs w:val="24"/>
        </w:rPr>
        <w:t xml:space="preserve">The State of New York </w:t>
      </w:r>
      <w:r w:rsidR="00E73DA7" w:rsidRPr="000A2E7F">
        <w:rPr>
          <w:sz w:val="24"/>
          <w:szCs w:val="24"/>
        </w:rPr>
        <w:t>request</w:t>
      </w:r>
      <w:r w:rsidR="00DF632A" w:rsidRPr="000A2E7F">
        <w:rPr>
          <w:sz w:val="24"/>
          <w:szCs w:val="24"/>
        </w:rPr>
        <w:t>s</w:t>
      </w:r>
      <w:r w:rsidR="00E73DA7" w:rsidRPr="000A2E7F">
        <w:rPr>
          <w:sz w:val="24"/>
          <w:szCs w:val="24"/>
        </w:rPr>
        <w:t xml:space="preserve"> to </w:t>
      </w:r>
      <w:r w:rsidRPr="000A2E7F">
        <w:rPr>
          <w:sz w:val="24"/>
          <w:szCs w:val="24"/>
        </w:rPr>
        <w:t xml:space="preserve">waive the ABAWD time limit for individuals living in </w:t>
      </w:r>
      <w:r w:rsidR="000A2E7F" w:rsidRPr="000A2E7F">
        <w:rPr>
          <w:sz w:val="24"/>
          <w:szCs w:val="24"/>
        </w:rPr>
        <w:t xml:space="preserve">seven </w:t>
      </w:r>
      <w:r w:rsidRPr="000A2E7F">
        <w:rPr>
          <w:sz w:val="24"/>
          <w:szCs w:val="24"/>
        </w:rPr>
        <w:t>community districts in</w:t>
      </w:r>
      <w:r w:rsidR="00257304" w:rsidRPr="000A2E7F">
        <w:rPr>
          <w:sz w:val="24"/>
          <w:szCs w:val="24"/>
        </w:rPr>
        <w:t xml:space="preserve"> Manhattan</w:t>
      </w:r>
      <w:r w:rsidR="004051B1" w:rsidRPr="000A2E7F">
        <w:rPr>
          <w:sz w:val="24"/>
          <w:szCs w:val="24"/>
        </w:rPr>
        <w:t xml:space="preserve"> based on </w:t>
      </w:r>
      <w:r w:rsidR="000229B2">
        <w:rPr>
          <w:sz w:val="24"/>
          <w:szCs w:val="24"/>
        </w:rPr>
        <w:t xml:space="preserve">these areas </w:t>
      </w:r>
      <w:r w:rsidR="004051B1" w:rsidRPr="000A2E7F">
        <w:rPr>
          <w:sz w:val="24"/>
          <w:szCs w:val="24"/>
        </w:rPr>
        <w:t>having an unemployment rate that is 20% or more above the national average</w:t>
      </w:r>
      <w:r w:rsidRPr="000A2E7F">
        <w:rPr>
          <w:sz w:val="24"/>
          <w:szCs w:val="24"/>
        </w:rPr>
        <w:t xml:space="preserve">. </w:t>
      </w:r>
      <w:r w:rsidR="00292FB4" w:rsidRPr="000A2E7F">
        <w:rPr>
          <w:sz w:val="24"/>
          <w:szCs w:val="24"/>
        </w:rPr>
        <w:t xml:space="preserve">   </w:t>
      </w:r>
      <w:r w:rsidR="000A2E7F" w:rsidRPr="000A2E7F">
        <w:rPr>
          <w:sz w:val="24"/>
          <w:szCs w:val="24"/>
        </w:rPr>
        <w:t>FNS previously approved</w:t>
      </w:r>
      <w:r w:rsidR="000A2E7F">
        <w:rPr>
          <w:sz w:val="24"/>
          <w:szCs w:val="24"/>
        </w:rPr>
        <w:t xml:space="preserve"> New York’s request to waive ABAWD time limits for residents of community districts 9, 10, 11, and 12 </w:t>
      </w:r>
      <w:r w:rsidR="004F4877">
        <w:rPr>
          <w:sz w:val="24"/>
          <w:szCs w:val="24"/>
        </w:rPr>
        <w:t>based on having an unemployment rate that exceeds 20 percent above the national average for the 24-month period of March 2013-Feburary 2015.  Our current request add</w:t>
      </w:r>
      <w:r w:rsidR="000229B2">
        <w:rPr>
          <w:sz w:val="24"/>
          <w:szCs w:val="24"/>
        </w:rPr>
        <w:t>s</w:t>
      </w:r>
      <w:r w:rsidR="004F4877">
        <w:rPr>
          <w:sz w:val="24"/>
          <w:szCs w:val="24"/>
        </w:rPr>
        <w:t xml:space="preserve"> community districts 4, 5 and 7 along with community districts 9, 10, 11, and 12 based on having an unemployment rate that is 20 percent above the national average for the period of October 2013 through September 2015 time period.  </w:t>
      </w:r>
    </w:p>
    <w:p w:rsidR="00B04019" w:rsidRDefault="00B04019" w:rsidP="00183C13">
      <w:pPr>
        <w:ind w:left="450"/>
        <w:rPr>
          <w:sz w:val="24"/>
          <w:szCs w:val="24"/>
        </w:rPr>
      </w:pPr>
    </w:p>
    <w:p w:rsidR="00B04019" w:rsidRPr="000A2E7F" w:rsidRDefault="00B04019" w:rsidP="00183C13">
      <w:pPr>
        <w:ind w:left="450"/>
        <w:rPr>
          <w:sz w:val="24"/>
          <w:szCs w:val="24"/>
        </w:rPr>
      </w:pPr>
      <w:bookmarkStart w:id="0" w:name="_GoBack"/>
      <w:bookmarkEnd w:id="0"/>
    </w:p>
    <w:p w:rsidR="00522BDD" w:rsidRPr="00656A81" w:rsidRDefault="00522BDD" w:rsidP="00183C13">
      <w:pPr>
        <w:pStyle w:val="NormalWeb"/>
        <w:shd w:val="clear" w:color="auto" w:fill="FFFFFF"/>
        <w:rPr>
          <w:rFonts w:ascii="Calibri" w:hAnsi="Calibri" w:cs="Calibri"/>
        </w:rPr>
      </w:pPr>
      <w:r w:rsidRPr="00656A81">
        <w:t xml:space="preserve"> </w:t>
      </w:r>
    </w:p>
    <w:p w:rsidR="00522BDD" w:rsidRDefault="005D0579" w:rsidP="008C3B5E">
      <w:pPr>
        <w:numPr>
          <w:ilvl w:val="0"/>
          <w:numId w:val="1"/>
        </w:numPr>
        <w:rPr>
          <w:b/>
          <w:sz w:val="24"/>
          <w:szCs w:val="24"/>
        </w:rPr>
      </w:pPr>
      <w:r w:rsidRPr="003E7D46">
        <w:rPr>
          <w:b/>
          <w:sz w:val="24"/>
          <w:szCs w:val="24"/>
        </w:rPr>
        <w:lastRenderedPageBreak/>
        <w:t>Justification for r</w:t>
      </w:r>
      <w:r w:rsidR="007772E2" w:rsidRPr="003E7D46">
        <w:rPr>
          <w:b/>
          <w:sz w:val="24"/>
          <w:szCs w:val="24"/>
        </w:rPr>
        <w:t xml:space="preserve">equest: </w:t>
      </w:r>
      <w:r w:rsidR="00600C5C" w:rsidRPr="003E7D46">
        <w:rPr>
          <w:b/>
          <w:sz w:val="24"/>
          <w:szCs w:val="24"/>
        </w:rPr>
        <w:t xml:space="preserve"> </w:t>
      </w:r>
    </w:p>
    <w:p w:rsidR="00522BDD" w:rsidRDefault="00522BDD" w:rsidP="00522BDD">
      <w:pPr>
        <w:ind w:left="420"/>
        <w:rPr>
          <w:b/>
          <w:sz w:val="24"/>
          <w:szCs w:val="24"/>
        </w:rPr>
      </w:pPr>
    </w:p>
    <w:p w:rsidR="00E96206" w:rsidRPr="00522BDD" w:rsidRDefault="008C3B5E" w:rsidP="00522BDD">
      <w:pPr>
        <w:pStyle w:val="ListParagraph"/>
        <w:numPr>
          <w:ilvl w:val="0"/>
          <w:numId w:val="18"/>
        </w:numPr>
        <w:ind w:left="720"/>
        <w:rPr>
          <w:b/>
          <w:sz w:val="24"/>
          <w:szCs w:val="24"/>
        </w:rPr>
      </w:pPr>
      <w:r w:rsidRPr="00522BDD">
        <w:rPr>
          <w:sz w:val="24"/>
          <w:szCs w:val="24"/>
        </w:rPr>
        <w:t>Under SNAP regulations at 7 CFR 273.24(f</w:t>
      </w:r>
      <w:proofErr w:type="gramStart"/>
      <w:r w:rsidRPr="00522BDD">
        <w:rPr>
          <w:sz w:val="24"/>
          <w:szCs w:val="24"/>
        </w:rPr>
        <w:t>)(</w:t>
      </w:r>
      <w:proofErr w:type="gramEnd"/>
      <w:r w:rsidRPr="00522BDD">
        <w:rPr>
          <w:sz w:val="24"/>
          <w:szCs w:val="24"/>
        </w:rPr>
        <w:t xml:space="preserve">2), areas may qualify for an ABAWD time limit waiver if they have insufficient jobs. </w:t>
      </w:r>
      <w:r w:rsidR="00C07BEE">
        <w:rPr>
          <w:sz w:val="24"/>
          <w:szCs w:val="24"/>
        </w:rPr>
        <w:t xml:space="preserve"> </w:t>
      </w:r>
      <w:r w:rsidRPr="00522BDD">
        <w:rPr>
          <w:sz w:val="24"/>
          <w:szCs w:val="24"/>
        </w:rPr>
        <w:t>To support this claim, states m</w:t>
      </w:r>
      <w:r w:rsidR="00E73DA7" w:rsidRPr="00522BDD">
        <w:rPr>
          <w:sz w:val="24"/>
          <w:szCs w:val="24"/>
        </w:rPr>
        <w:t xml:space="preserve">ay </w:t>
      </w:r>
      <w:r w:rsidRPr="00522BDD">
        <w:rPr>
          <w:sz w:val="24"/>
          <w:szCs w:val="24"/>
        </w:rPr>
        <w:t>submit evidence that an area has a 24-month unemployment rate average that exceeds the national average for this same 24-month time period by 20 percent.</w:t>
      </w:r>
      <w:r w:rsidR="00C07BEE">
        <w:rPr>
          <w:sz w:val="24"/>
          <w:szCs w:val="24"/>
        </w:rPr>
        <w:t xml:space="preserve"> </w:t>
      </w:r>
      <w:r w:rsidRPr="00522BDD">
        <w:rPr>
          <w:sz w:val="24"/>
          <w:szCs w:val="24"/>
        </w:rPr>
        <w:t xml:space="preserve"> </w:t>
      </w:r>
      <w:r w:rsidR="00E73DA7" w:rsidRPr="00522BDD">
        <w:rPr>
          <w:sz w:val="24"/>
          <w:szCs w:val="24"/>
        </w:rPr>
        <w:t>Federal regulations [</w:t>
      </w:r>
      <w:r w:rsidRPr="00522BDD">
        <w:rPr>
          <w:sz w:val="24"/>
          <w:szCs w:val="24"/>
        </w:rPr>
        <w:t>7 CFR 273.24(f</w:t>
      </w:r>
      <w:proofErr w:type="gramStart"/>
      <w:r w:rsidRPr="00522BDD">
        <w:rPr>
          <w:sz w:val="24"/>
          <w:szCs w:val="24"/>
        </w:rPr>
        <w:t>)(</w:t>
      </w:r>
      <w:proofErr w:type="gramEnd"/>
      <w:r w:rsidRPr="00522BDD">
        <w:rPr>
          <w:sz w:val="24"/>
          <w:szCs w:val="24"/>
        </w:rPr>
        <w:t>6)</w:t>
      </w:r>
      <w:r w:rsidR="00E73DA7" w:rsidRPr="00522BDD">
        <w:rPr>
          <w:sz w:val="24"/>
          <w:szCs w:val="24"/>
        </w:rPr>
        <w:t>]</w:t>
      </w:r>
      <w:r w:rsidRPr="00522BDD">
        <w:rPr>
          <w:sz w:val="24"/>
          <w:szCs w:val="24"/>
        </w:rPr>
        <w:t xml:space="preserve"> provide that States may define areas to be waived.</w:t>
      </w:r>
    </w:p>
    <w:p w:rsidR="008C3B5E" w:rsidRDefault="008C3B5E" w:rsidP="008C3B5E">
      <w:pPr>
        <w:pStyle w:val="ListParagraph"/>
        <w:rPr>
          <w:b/>
          <w:sz w:val="24"/>
          <w:szCs w:val="24"/>
        </w:rPr>
      </w:pPr>
    </w:p>
    <w:tbl>
      <w:tblPr>
        <w:tblW w:w="8208" w:type="dxa"/>
        <w:tblInd w:w="648" w:type="dxa"/>
        <w:tblLook w:val="04A0" w:firstRow="1" w:lastRow="0" w:firstColumn="1" w:lastColumn="0" w:noHBand="0" w:noVBand="1"/>
      </w:tblPr>
      <w:tblGrid>
        <w:gridCol w:w="1890"/>
        <w:gridCol w:w="4240"/>
        <w:gridCol w:w="2078"/>
      </w:tblGrid>
      <w:tr w:rsidR="00FC65D2" w:rsidRPr="0071510E" w:rsidTr="003F2B41">
        <w:trPr>
          <w:trHeight w:val="300"/>
        </w:trPr>
        <w:tc>
          <w:tcPr>
            <w:tcW w:w="1890" w:type="dxa"/>
            <w:tcBorders>
              <w:top w:val="nil"/>
              <w:left w:val="nil"/>
              <w:bottom w:val="nil"/>
              <w:right w:val="nil"/>
            </w:tcBorders>
            <w:shd w:val="clear" w:color="auto" w:fill="auto"/>
            <w:noWrap/>
            <w:vAlign w:val="bottom"/>
          </w:tcPr>
          <w:p w:rsidR="00792366" w:rsidRDefault="00792366" w:rsidP="00920295">
            <w:pPr>
              <w:rPr>
                <w:rFonts w:ascii="Arial" w:hAnsi="Arial" w:cs="Arial"/>
                <w:b/>
                <w:bCs/>
                <w:sz w:val="16"/>
                <w:szCs w:val="16"/>
              </w:rPr>
            </w:pPr>
          </w:p>
        </w:tc>
        <w:tc>
          <w:tcPr>
            <w:tcW w:w="4240" w:type="dxa"/>
            <w:tcBorders>
              <w:top w:val="nil"/>
              <w:left w:val="nil"/>
              <w:bottom w:val="nil"/>
              <w:right w:val="nil"/>
            </w:tcBorders>
            <w:vAlign w:val="bottom"/>
          </w:tcPr>
          <w:p w:rsidR="00FC65D2" w:rsidRDefault="00FC65D2" w:rsidP="00920295">
            <w:pPr>
              <w:rPr>
                <w:rFonts w:ascii="Arial" w:hAnsi="Arial" w:cs="Arial"/>
                <w:b/>
                <w:bCs/>
                <w:color w:val="000000"/>
                <w:sz w:val="16"/>
                <w:szCs w:val="16"/>
              </w:rPr>
            </w:pPr>
          </w:p>
        </w:tc>
        <w:tc>
          <w:tcPr>
            <w:tcW w:w="2078" w:type="dxa"/>
            <w:tcBorders>
              <w:top w:val="nil"/>
              <w:left w:val="nil"/>
              <w:bottom w:val="nil"/>
              <w:right w:val="nil"/>
            </w:tcBorders>
          </w:tcPr>
          <w:p w:rsidR="00FC65D2" w:rsidRDefault="00FC65D2" w:rsidP="00920295">
            <w:pPr>
              <w:rPr>
                <w:rFonts w:ascii="Arial" w:hAnsi="Arial" w:cs="Arial"/>
                <w:b/>
                <w:bCs/>
                <w:color w:val="000000"/>
                <w:sz w:val="16"/>
                <w:szCs w:val="16"/>
              </w:rPr>
            </w:pPr>
          </w:p>
        </w:tc>
      </w:tr>
    </w:tbl>
    <w:p w:rsidR="00FC65D2" w:rsidRDefault="00183C13" w:rsidP="00E96206">
      <w:pPr>
        <w:ind w:left="420"/>
        <w:rPr>
          <w:sz w:val="24"/>
          <w:szCs w:val="24"/>
        </w:rPr>
      </w:pPr>
      <w:r>
        <w:rPr>
          <w:sz w:val="24"/>
          <w:szCs w:val="24"/>
        </w:rPr>
        <w:t xml:space="preserve">Seven </w:t>
      </w:r>
      <w:r w:rsidR="00792366">
        <w:rPr>
          <w:sz w:val="24"/>
          <w:szCs w:val="24"/>
        </w:rPr>
        <w:t xml:space="preserve">Community Districts (or Public Use </w:t>
      </w:r>
      <w:proofErr w:type="spellStart"/>
      <w:r w:rsidR="00792366">
        <w:rPr>
          <w:sz w:val="24"/>
          <w:szCs w:val="24"/>
        </w:rPr>
        <w:t>Microdata</w:t>
      </w:r>
      <w:proofErr w:type="spellEnd"/>
      <w:r w:rsidR="00792366">
        <w:rPr>
          <w:sz w:val="24"/>
          <w:szCs w:val="24"/>
        </w:rPr>
        <w:t xml:space="preserve"> Areas, PUMAs) within New York County </w:t>
      </w:r>
      <w:r>
        <w:rPr>
          <w:sz w:val="24"/>
          <w:szCs w:val="24"/>
        </w:rPr>
        <w:t>in u</w:t>
      </w:r>
      <w:r w:rsidR="00792366">
        <w:rPr>
          <w:sz w:val="24"/>
          <w:szCs w:val="24"/>
        </w:rPr>
        <w:t xml:space="preserve">pper Manhattan are </w:t>
      </w:r>
      <w:r>
        <w:rPr>
          <w:sz w:val="24"/>
          <w:szCs w:val="24"/>
        </w:rPr>
        <w:t>e</w:t>
      </w:r>
      <w:r w:rsidR="00792366">
        <w:rPr>
          <w:sz w:val="24"/>
          <w:szCs w:val="24"/>
        </w:rPr>
        <w:t xml:space="preserve">ligible for a waiver based on having an unemployment rate </w:t>
      </w:r>
      <w:r>
        <w:rPr>
          <w:sz w:val="24"/>
          <w:szCs w:val="24"/>
        </w:rPr>
        <w:t xml:space="preserve">of at least </w:t>
      </w:r>
      <w:r w:rsidR="00792366">
        <w:rPr>
          <w:sz w:val="24"/>
          <w:szCs w:val="24"/>
        </w:rPr>
        <w:t xml:space="preserve">20 percent above the national average for the 24-month period of </w:t>
      </w:r>
      <w:r>
        <w:rPr>
          <w:sz w:val="24"/>
          <w:szCs w:val="24"/>
        </w:rPr>
        <w:t xml:space="preserve"> October 2013 through September 2015.  </w:t>
      </w:r>
      <w:r w:rsidR="00792366">
        <w:rPr>
          <w:sz w:val="24"/>
          <w:szCs w:val="24"/>
        </w:rPr>
        <w:t xml:space="preserve">Neither the national Bureau of Labor Statistics nor the New York Department of Labor </w:t>
      </w:r>
      <w:proofErr w:type="gramStart"/>
      <w:r w:rsidR="00792366">
        <w:rPr>
          <w:sz w:val="24"/>
          <w:szCs w:val="24"/>
        </w:rPr>
        <w:t>collect</w:t>
      </w:r>
      <w:proofErr w:type="gramEnd"/>
      <w:r w:rsidR="00792366">
        <w:rPr>
          <w:sz w:val="24"/>
          <w:szCs w:val="24"/>
        </w:rPr>
        <w:t xml:space="preserve"> data for sub-county areas in New York County. </w:t>
      </w:r>
      <w:r w:rsidR="00C07BEE">
        <w:rPr>
          <w:sz w:val="24"/>
          <w:szCs w:val="24"/>
        </w:rPr>
        <w:t xml:space="preserve"> </w:t>
      </w:r>
      <w:r w:rsidR="000C2329">
        <w:rPr>
          <w:sz w:val="24"/>
          <w:szCs w:val="24"/>
        </w:rPr>
        <w:t xml:space="preserve">The U.S. Census Bureau produces estimates for PUMAs in its 5-year American Community Survey (ACS) estimates. </w:t>
      </w:r>
      <w:r w:rsidR="00C07BEE">
        <w:rPr>
          <w:sz w:val="24"/>
          <w:szCs w:val="24"/>
        </w:rPr>
        <w:t xml:space="preserve"> </w:t>
      </w:r>
      <w:r w:rsidR="00792366">
        <w:rPr>
          <w:sz w:val="24"/>
          <w:szCs w:val="24"/>
        </w:rPr>
        <w:t xml:space="preserve">Labor force data was calculated for these areas based on applying county shares from 5-Year </w:t>
      </w:r>
      <w:r w:rsidR="000C2329">
        <w:rPr>
          <w:sz w:val="24"/>
          <w:szCs w:val="24"/>
        </w:rPr>
        <w:t>ACS</w:t>
      </w:r>
      <w:r w:rsidR="00792366">
        <w:rPr>
          <w:sz w:val="24"/>
          <w:szCs w:val="24"/>
        </w:rPr>
        <w:t xml:space="preserve"> data to current Bureau of Labor Statistics data</w:t>
      </w:r>
      <w:r w:rsidR="000C2329">
        <w:rPr>
          <w:sz w:val="24"/>
          <w:szCs w:val="24"/>
        </w:rPr>
        <w:t xml:space="preserve"> for the county</w:t>
      </w:r>
      <w:r w:rsidR="00792366">
        <w:rPr>
          <w:sz w:val="24"/>
          <w:szCs w:val="24"/>
        </w:rPr>
        <w:t xml:space="preserve">, using the same method commonly used to calculate unemployment rates for tribal areas. </w:t>
      </w:r>
    </w:p>
    <w:p w:rsidR="000C2329" w:rsidRDefault="000C2329" w:rsidP="00E96206">
      <w:pPr>
        <w:ind w:left="420"/>
        <w:rPr>
          <w:sz w:val="24"/>
          <w:szCs w:val="24"/>
        </w:rPr>
      </w:pPr>
    </w:p>
    <w:p w:rsidR="000C2329" w:rsidRDefault="00183C13" w:rsidP="00E96206">
      <w:pPr>
        <w:ind w:left="420"/>
        <w:rPr>
          <w:sz w:val="24"/>
          <w:szCs w:val="24"/>
        </w:rPr>
      </w:pPr>
      <w:r>
        <w:rPr>
          <w:sz w:val="24"/>
          <w:szCs w:val="24"/>
        </w:rPr>
        <w:t xml:space="preserve">The attached spreadsheet includes </w:t>
      </w:r>
      <w:r w:rsidR="005576DF">
        <w:rPr>
          <w:sz w:val="24"/>
          <w:szCs w:val="24"/>
        </w:rPr>
        <w:t>detailed</w:t>
      </w:r>
      <w:r>
        <w:rPr>
          <w:sz w:val="24"/>
          <w:szCs w:val="24"/>
        </w:rPr>
        <w:t xml:space="preserve"> calculations to support this request. </w:t>
      </w:r>
    </w:p>
    <w:p w:rsidR="00183C13" w:rsidRDefault="00183C13" w:rsidP="00E96206">
      <w:pPr>
        <w:ind w:left="420"/>
        <w:rPr>
          <w:sz w:val="24"/>
          <w:szCs w:val="24"/>
        </w:rPr>
      </w:pPr>
    </w:p>
    <w:p w:rsidR="00183C13" w:rsidRDefault="00183C13" w:rsidP="00E96206">
      <w:pPr>
        <w:ind w:left="420"/>
        <w:rPr>
          <w:sz w:val="24"/>
          <w:szCs w:val="24"/>
        </w:rPr>
      </w:pPr>
    </w:p>
    <w:tbl>
      <w:tblPr>
        <w:tblW w:w="9099" w:type="dxa"/>
        <w:tblInd w:w="108" w:type="dxa"/>
        <w:tblLook w:val="04A0" w:firstRow="1" w:lastRow="0" w:firstColumn="1" w:lastColumn="0" w:noHBand="0" w:noVBand="1"/>
      </w:tblPr>
      <w:tblGrid>
        <w:gridCol w:w="960"/>
        <w:gridCol w:w="1028"/>
        <w:gridCol w:w="1074"/>
        <w:gridCol w:w="663"/>
        <w:gridCol w:w="1556"/>
        <w:gridCol w:w="1115"/>
        <w:gridCol w:w="1244"/>
        <w:gridCol w:w="1459"/>
      </w:tblGrid>
      <w:tr w:rsidR="005576DF" w:rsidRPr="005576DF" w:rsidTr="005576DF">
        <w:trPr>
          <w:trHeight w:val="300"/>
        </w:trPr>
        <w:tc>
          <w:tcPr>
            <w:tcW w:w="960" w:type="dxa"/>
            <w:tcBorders>
              <w:top w:val="nil"/>
              <w:left w:val="nil"/>
              <w:bottom w:val="nil"/>
              <w:right w:val="nil"/>
            </w:tcBorders>
            <w:shd w:val="clear" w:color="auto" w:fill="auto"/>
            <w:vAlign w:val="bottom"/>
            <w:hideMark/>
          </w:tcPr>
          <w:p w:rsidR="005576DF" w:rsidRPr="005576DF" w:rsidRDefault="005576DF" w:rsidP="005576DF">
            <w:pPr>
              <w:rPr>
                <w:rFonts w:ascii="Arial" w:hAnsi="Arial" w:cs="Arial"/>
                <w:color w:val="000000"/>
                <w:sz w:val="16"/>
                <w:szCs w:val="16"/>
              </w:rPr>
            </w:pPr>
          </w:p>
        </w:tc>
        <w:tc>
          <w:tcPr>
            <w:tcW w:w="1028" w:type="dxa"/>
            <w:tcBorders>
              <w:top w:val="nil"/>
              <w:left w:val="nil"/>
              <w:bottom w:val="nil"/>
              <w:right w:val="nil"/>
            </w:tcBorders>
            <w:shd w:val="clear" w:color="auto" w:fill="auto"/>
            <w:vAlign w:val="bottom"/>
            <w:hideMark/>
          </w:tcPr>
          <w:p w:rsidR="005576DF" w:rsidRPr="005576DF" w:rsidRDefault="005576DF" w:rsidP="005576DF">
            <w:pPr>
              <w:rPr>
                <w:rFonts w:ascii="Arial" w:hAnsi="Arial" w:cs="Arial"/>
                <w:color w:val="000000"/>
                <w:sz w:val="16"/>
                <w:szCs w:val="16"/>
              </w:rPr>
            </w:pPr>
          </w:p>
        </w:tc>
        <w:tc>
          <w:tcPr>
            <w:tcW w:w="1074" w:type="dxa"/>
            <w:tcBorders>
              <w:top w:val="nil"/>
              <w:left w:val="nil"/>
              <w:bottom w:val="nil"/>
              <w:right w:val="nil"/>
            </w:tcBorders>
            <w:shd w:val="clear" w:color="auto" w:fill="auto"/>
            <w:vAlign w:val="bottom"/>
            <w:hideMark/>
          </w:tcPr>
          <w:p w:rsidR="005576DF" w:rsidRPr="005576DF" w:rsidRDefault="005576DF" w:rsidP="005576DF">
            <w:pPr>
              <w:rPr>
                <w:rFonts w:ascii="Arial" w:hAnsi="Arial" w:cs="Arial"/>
                <w:color w:val="000000"/>
                <w:sz w:val="16"/>
                <w:szCs w:val="16"/>
              </w:rPr>
            </w:pPr>
          </w:p>
        </w:tc>
        <w:tc>
          <w:tcPr>
            <w:tcW w:w="663" w:type="dxa"/>
            <w:tcBorders>
              <w:top w:val="nil"/>
              <w:left w:val="nil"/>
              <w:bottom w:val="nil"/>
              <w:right w:val="nil"/>
            </w:tcBorders>
            <w:shd w:val="clear" w:color="auto" w:fill="auto"/>
            <w:vAlign w:val="bottom"/>
            <w:hideMark/>
          </w:tcPr>
          <w:p w:rsidR="005576DF" w:rsidRPr="005576DF" w:rsidRDefault="005576DF" w:rsidP="005576DF">
            <w:pPr>
              <w:rPr>
                <w:rFonts w:ascii="Arial" w:hAnsi="Arial" w:cs="Arial"/>
                <w:color w:val="000000"/>
                <w:sz w:val="16"/>
                <w:szCs w:val="16"/>
              </w:rPr>
            </w:pPr>
          </w:p>
        </w:tc>
        <w:tc>
          <w:tcPr>
            <w:tcW w:w="3915" w:type="dxa"/>
            <w:gridSpan w:val="3"/>
            <w:tcBorders>
              <w:top w:val="nil"/>
              <w:left w:val="nil"/>
              <w:bottom w:val="nil"/>
              <w:right w:val="nil"/>
            </w:tcBorders>
            <w:shd w:val="clear" w:color="auto" w:fill="auto"/>
            <w:noWrap/>
            <w:vAlign w:val="bottom"/>
            <w:hideMark/>
          </w:tcPr>
          <w:p w:rsidR="005576DF" w:rsidRPr="005576DF" w:rsidRDefault="005576DF" w:rsidP="005576DF">
            <w:pPr>
              <w:rPr>
                <w:rFonts w:ascii="Arial" w:hAnsi="Arial" w:cs="Arial"/>
                <w:color w:val="000000"/>
                <w:sz w:val="16"/>
                <w:szCs w:val="16"/>
              </w:rPr>
            </w:pPr>
            <w:r w:rsidRPr="005576DF">
              <w:rPr>
                <w:rFonts w:ascii="Arial" w:hAnsi="Arial" w:cs="Arial"/>
                <w:color w:val="000000"/>
                <w:sz w:val="16"/>
                <w:szCs w:val="16"/>
              </w:rPr>
              <w:t xml:space="preserve"> October 2013-September 2015 Calculation </w:t>
            </w:r>
          </w:p>
        </w:tc>
        <w:tc>
          <w:tcPr>
            <w:tcW w:w="1459" w:type="dxa"/>
            <w:tcBorders>
              <w:top w:val="nil"/>
              <w:left w:val="nil"/>
              <w:bottom w:val="nil"/>
              <w:right w:val="nil"/>
            </w:tcBorders>
            <w:shd w:val="clear" w:color="auto" w:fill="auto"/>
            <w:noWrap/>
            <w:vAlign w:val="bottom"/>
            <w:hideMark/>
          </w:tcPr>
          <w:p w:rsidR="005576DF" w:rsidRPr="005576DF" w:rsidRDefault="005576DF" w:rsidP="005576DF">
            <w:pPr>
              <w:rPr>
                <w:rFonts w:ascii="Arial" w:hAnsi="Arial" w:cs="Arial"/>
                <w:sz w:val="16"/>
                <w:szCs w:val="16"/>
              </w:rPr>
            </w:pPr>
          </w:p>
        </w:tc>
      </w:tr>
      <w:tr w:rsidR="005576DF" w:rsidRPr="005576DF" w:rsidTr="005576DF">
        <w:trPr>
          <w:trHeight w:val="300"/>
        </w:trPr>
        <w:tc>
          <w:tcPr>
            <w:tcW w:w="960" w:type="dxa"/>
            <w:tcBorders>
              <w:top w:val="nil"/>
              <w:left w:val="nil"/>
              <w:bottom w:val="nil"/>
              <w:right w:val="nil"/>
            </w:tcBorders>
            <w:shd w:val="clear" w:color="auto" w:fill="auto"/>
            <w:vAlign w:val="bottom"/>
            <w:hideMark/>
          </w:tcPr>
          <w:p w:rsidR="005576DF" w:rsidRPr="005576DF" w:rsidRDefault="005576DF" w:rsidP="005576DF">
            <w:pPr>
              <w:rPr>
                <w:rFonts w:ascii="Arial" w:hAnsi="Arial" w:cs="Arial"/>
                <w:color w:val="000000"/>
                <w:sz w:val="16"/>
                <w:szCs w:val="16"/>
              </w:rPr>
            </w:pPr>
          </w:p>
        </w:tc>
        <w:tc>
          <w:tcPr>
            <w:tcW w:w="1028" w:type="dxa"/>
            <w:tcBorders>
              <w:top w:val="nil"/>
              <w:left w:val="nil"/>
              <w:bottom w:val="nil"/>
              <w:right w:val="nil"/>
            </w:tcBorders>
            <w:shd w:val="clear" w:color="auto" w:fill="auto"/>
            <w:vAlign w:val="bottom"/>
            <w:hideMark/>
          </w:tcPr>
          <w:p w:rsidR="005576DF" w:rsidRPr="005576DF" w:rsidRDefault="005576DF" w:rsidP="005576DF">
            <w:pPr>
              <w:rPr>
                <w:rFonts w:ascii="Arial" w:hAnsi="Arial" w:cs="Arial"/>
                <w:color w:val="000000"/>
                <w:sz w:val="16"/>
                <w:szCs w:val="16"/>
              </w:rPr>
            </w:pPr>
          </w:p>
        </w:tc>
        <w:tc>
          <w:tcPr>
            <w:tcW w:w="1074" w:type="dxa"/>
            <w:tcBorders>
              <w:top w:val="nil"/>
              <w:left w:val="nil"/>
              <w:bottom w:val="nil"/>
              <w:right w:val="nil"/>
            </w:tcBorders>
            <w:shd w:val="clear" w:color="auto" w:fill="auto"/>
            <w:vAlign w:val="bottom"/>
            <w:hideMark/>
          </w:tcPr>
          <w:p w:rsidR="005576DF" w:rsidRPr="005576DF" w:rsidRDefault="005576DF" w:rsidP="005576DF">
            <w:pPr>
              <w:rPr>
                <w:rFonts w:ascii="Arial" w:hAnsi="Arial" w:cs="Arial"/>
                <w:color w:val="000000"/>
                <w:sz w:val="16"/>
                <w:szCs w:val="16"/>
              </w:rPr>
            </w:pPr>
          </w:p>
        </w:tc>
        <w:tc>
          <w:tcPr>
            <w:tcW w:w="663" w:type="dxa"/>
            <w:tcBorders>
              <w:top w:val="nil"/>
              <w:left w:val="nil"/>
              <w:bottom w:val="nil"/>
              <w:right w:val="nil"/>
            </w:tcBorders>
            <w:shd w:val="clear" w:color="auto" w:fill="auto"/>
            <w:vAlign w:val="bottom"/>
            <w:hideMark/>
          </w:tcPr>
          <w:p w:rsidR="005576DF" w:rsidRPr="005576DF" w:rsidRDefault="005576DF" w:rsidP="005576DF">
            <w:pPr>
              <w:rPr>
                <w:rFonts w:ascii="Arial" w:hAnsi="Arial" w:cs="Arial"/>
                <w:color w:val="000000"/>
                <w:sz w:val="16"/>
                <w:szCs w:val="16"/>
              </w:rPr>
            </w:pPr>
          </w:p>
        </w:tc>
        <w:tc>
          <w:tcPr>
            <w:tcW w:w="1556" w:type="dxa"/>
            <w:tcBorders>
              <w:top w:val="nil"/>
              <w:left w:val="nil"/>
              <w:bottom w:val="nil"/>
              <w:right w:val="nil"/>
            </w:tcBorders>
            <w:shd w:val="clear" w:color="auto" w:fill="auto"/>
            <w:noWrap/>
            <w:vAlign w:val="bottom"/>
            <w:hideMark/>
          </w:tcPr>
          <w:p w:rsidR="005576DF" w:rsidRPr="005576DF" w:rsidRDefault="005576DF" w:rsidP="005576DF">
            <w:pPr>
              <w:rPr>
                <w:rFonts w:ascii="Arial" w:hAnsi="Arial" w:cs="Arial"/>
                <w:color w:val="000000"/>
                <w:sz w:val="16"/>
                <w:szCs w:val="16"/>
              </w:rPr>
            </w:pPr>
            <w:r w:rsidRPr="005576DF">
              <w:rPr>
                <w:rFonts w:ascii="Arial" w:hAnsi="Arial" w:cs="Arial"/>
                <w:color w:val="000000"/>
                <w:sz w:val="16"/>
                <w:szCs w:val="16"/>
              </w:rPr>
              <w:t xml:space="preserve"> Employed </w:t>
            </w:r>
          </w:p>
        </w:tc>
        <w:tc>
          <w:tcPr>
            <w:tcW w:w="1115" w:type="dxa"/>
            <w:tcBorders>
              <w:top w:val="nil"/>
              <w:left w:val="nil"/>
              <w:bottom w:val="nil"/>
              <w:right w:val="nil"/>
            </w:tcBorders>
            <w:shd w:val="clear" w:color="auto" w:fill="auto"/>
            <w:noWrap/>
            <w:vAlign w:val="bottom"/>
            <w:hideMark/>
          </w:tcPr>
          <w:p w:rsidR="005576DF" w:rsidRPr="005576DF" w:rsidRDefault="005576DF" w:rsidP="005576DF">
            <w:pPr>
              <w:rPr>
                <w:rFonts w:ascii="Arial" w:hAnsi="Arial" w:cs="Arial"/>
                <w:color w:val="000000"/>
                <w:sz w:val="16"/>
                <w:szCs w:val="16"/>
              </w:rPr>
            </w:pPr>
            <w:r w:rsidRPr="005576DF">
              <w:rPr>
                <w:rFonts w:ascii="Arial" w:hAnsi="Arial" w:cs="Arial"/>
                <w:color w:val="000000"/>
                <w:sz w:val="16"/>
                <w:szCs w:val="16"/>
              </w:rPr>
              <w:t xml:space="preserve"> Unemployed </w:t>
            </w:r>
          </w:p>
        </w:tc>
        <w:tc>
          <w:tcPr>
            <w:tcW w:w="1244" w:type="dxa"/>
            <w:tcBorders>
              <w:top w:val="nil"/>
              <w:left w:val="nil"/>
              <w:bottom w:val="nil"/>
              <w:right w:val="nil"/>
            </w:tcBorders>
            <w:shd w:val="clear" w:color="auto" w:fill="auto"/>
            <w:noWrap/>
            <w:vAlign w:val="bottom"/>
            <w:hideMark/>
          </w:tcPr>
          <w:p w:rsidR="005576DF" w:rsidRPr="005576DF" w:rsidRDefault="005576DF" w:rsidP="005576DF">
            <w:pPr>
              <w:rPr>
                <w:rFonts w:ascii="Arial" w:hAnsi="Arial" w:cs="Arial"/>
                <w:color w:val="000000"/>
                <w:sz w:val="16"/>
                <w:szCs w:val="16"/>
              </w:rPr>
            </w:pPr>
            <w:r w:rsidRPr="005576DF">
              <w:rPr>
                <w:rFonts w:ascii="Arial" w:hAnsi="Arial" w:cs="Arial"/>
                <w:color w:val="000000"/>
                <w:sz w:val="16"/>
                <w:szCs w:val="16"/>
              </w:rPr>
              <w:t xml:space="preserve"> Labor force </w:t>
            </w:r>
          </w:p>
        </w:tc>
        <w:tc>
          <w:tcPr>
            <w:tcW w:w="1459" w:type="dxa"/>
            <w:tcBorders>
              <w:top w:val="nil"/>
              <w:left w:val="nil"/>
              <w:bottom w:val="nil"/>
              <w:right w:val="nil"/>
            </w:tcBorders>
            <w:shd w:val="clear" w:color="auto" w:fill="auto"/>
            <w:noWrap/>
            <w:vAlign w:val="bottom"/>
            <w:hideMark/>
          </w:tcPr>
          <w:p w:rsidR="005576DF" w:rsidRPr="005576DF" w:rsidRDefault="005576DF" w:rsidP="005576DF">
            <w:pPr>
              <w:rPr>
                <w:rFonts w:ascii="Arial" w:hAnsi="Arial" w:cs="Arial"/>
                <w:sz w:val="16"/>
                <w:szCs w:val="16"/>
              </w:rPr>
            </w:pPr>
            <w:r w:rsidRPr="005576DF">
              <w:rPr>
                <w:rFonts w:ascii="Arial" w:hAnsi="Arial" w:cs="Arial"/>
                <w:sz w:val="16"/>
                <w:szCs w:val="16"/>
              </w:rPr>
              <w:t>Unemployment Rate</w:t>
            </w:r>
          </w:p>
        </w:tc>
      </w:tr>
      <w:tr w:rsidR="005576DF" w:rsidRPr="005576DF" w:rsidTr="005576DF">
        <w:trPr>
          <w:trHeight w:val="300"/>
        </w:trPr>
        <w:tc>
          <w:tcPr>
            <w:tcW w:w="3062" w:type="dxa"/>
            <w:gridSpan w:val="3"/>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NYC-Manhattan Community District 12</w:t>
            </w:r>
          </w:p>
        </w:tc>
        <w:tc>
          <w:tcPr>
            <w:tcW w:w="663" w:type="dxa"/>
            <w:tcBorders>
              <w:top w:val="nil"/>
              <w:left w:val="nil"/>
              <w:bottom w:val="nil"/>
              <w:right w:val="nil"/>
            </w:tcBorders>
            <w:shd w:val="clear" w:color="auto" w:fill="auto"/>
            <w:vAlign w:val="bottom"/>
            <w:hideMark/>
          </w:tcPr>
          <w:p w:rsidR="005576DF" w:rsidRPr="005576DF" w:rsidRDefault="005576DF" w:rsidP="005576DF">
            <w:pPr>
              <w:rPr>
                <w:rFonts w:ascii="Arial" w:hAnsi="Arial" w:cs="Arial"/>
                <w:color w:val="000000"/>
                <w:sz w:val="16"/>
                <w:szCs w:val="16"/>
              </w:rPr>
            </w:pPr>
          </w:p>
        </w:tc>
        <w:tc>
          <w:tcPr>
            <w:tcW w:w="1556" w:type="dxa"/>
            <w:tcBorders>
              <w:top w:val="nil"/>
              <w:left w:val="nil"/>
              <w:bottom w:val="nil"/>
              <w:right w:val="nil"/>
            </w:tcBorders>
            <w:shd w:val="clear" w:color="auto" w:fill="auto"/>
            <w:noWrap/>
            <w:vAlign w:val="bottom"/>
            <w:hideMark/>
          </w:tcPr>
          <w:p w:rsidR="005576DF" w:rsidRPr="005576DF" w:rsidRDefault="005576DF" w:rsidP="005576DF">
            <w:pPr>
              <w:rPr>
                <w:rFonts w:ascii="Arial" w:hAnsi="Arial" w:cs="Arial"/>
                <w:color w:val="000000"/>
                <w:sz w:val="16"/>
                <w:szCs w:val="16"/>
              </w:rPr>
            </w:pPr>
            <w:r w:rsidRPr="005576DF">
              <w:rPr>
                <w:rFonts w:ascii="Arial" w:hAnsi="Arial" w:cs="Arial"/>
                <w:color w:val="000000"/>
                <w:sz w:val="16"/>
                <w:szCs w:val="16"/>
              </w:rPr>
              <w:t xml:space="preserve">2,429,925 </w:t>
            </w:r>
          </w:p>
        </w:tc>
        <w:tc>
          <w:tcPr>
            <w:tcW w:w="1115" w:type="dxa"/>
            <w:tcBorders>
              <w:top w:val="nil"/>
              <w:left w:val="nil"/>
              <w:bottom w:val="nil"/>
              <w:right w:val="nil"/>
            </w:tcBorders>
            <w:shd w:val="clear" w:color="auto" w:fill="auto"/>
            <w:noWrap/>
            <w:vAlign w:val="bottom"/>
            <w:hideMark/>
          </w:tcPr>
          <w:p w:rsidR="005576DF" w:rsidRPr="005576DF" w:rsidRDefault="005576DF" w:rsidP="005576DF">
            <w:pPr>
              <w:rPr>
                <w:rFonts w:ascii="Arial" w:hAnsi="Arial" w:cs="Arial"/>
                <w:color w:val="000000"/>
                <w:sz w:val="16"/>
                <w:szCs w:val="16"/>
              </w:rPr>
            </w:pPr>
            <w:r w:rsidRPr="005576DF">
              <w:rPr>
                <w:rFonts w:ascii="Arial" w:hAnsi="Arial" w:cs="Arial"/>
                <w:color w:val="000000"/>
                <w:sz w:val="16"/>
                <w:szCs w:val="16"/>
              </w:rPr>
              <w:t xml:space="preserve">281,518 </w:t>
            </w:r>
          </w:p>
        </w:tc>
        <w:tc>
          <w:tcPr>
            <w:tcW w:w="1244" w:type="dxa"/>
            <w:tcBorders>
              <w:top w:val="nil"/>
              <w:left w:val="nil"/>
              <w:bottom w:val="nil"/>
              <w:right w:val="nil"/>
            </w:tcBorders>
            <w:shd w:val="clear" w:color="auto" w:fill="auto"/>
            <w:noWrap/>
            <w:vAlign w:val="bottom"/>
            <w:hideMark/>
          </w:tcPr>
          <w:p w:rsidR="005576DF" w:rsidRPr="005576DF" w:rsidRDefault="005576DF" w:rsidP="005576DF">
            <w:pPr>
              <w:rPr>
                <w:rFonts w:ascii="Arial" w:hAnsi="Arial" w:cs="Arial"/>
                <w:color w:val="000000"/>
                <w:sz w:val="16"/>
                <w:szCs w:val="16"/>
              </w:rPr>
            </w:pPr>
            <w:r w:rsidRPr="005576DF">
              <w:rPr>
                <w:rFonts w:ascii="Arial" w:hAnsi="Arial" w:cs="Arial"/>
                <w:color w:val="000000"/>
                <w:sz w:val="16"/>
                <w:szCs w:val="16"/>
              </w:rPr>
              <w:t xml:space="preserve">         2,711,442 </w:t>
            </w:r>
          </w:p>
        </w:tc>
        <w:tc>
          <w:tcPr>
            <w:tcW w:w="1459" w:type="dxa"/>
            <w:tcBorders>
              <w:top w:val="nil"/>
              <w:left w:val="nil"/>
              <w:bottom w:val="nil"/>
              <w:right w:val="nil"/>
            </w:tcBorders>
            <w:shd w:val="clear" w:color="auto" w:fill="auto"/>
            <w:noWrap/>
            <w:vAlign w:val="bottom"/>
            <w:hideMark/>
          </w:tcPr>
          <w:p w:rsidR="005576DF" w:rsidRPr="005576DF" w:rsidRDefault="005576DF" w:rsidP="005576DF">
            <w:pPr>
              <w:jc w:val="right"/>
              <w:rPr>
                <w:rFonts w:ascii="Arial" w:hAnsi="Arial" w:cs="Arial"/>
                <w:sz w:val="16"/>
                <w:szCs w:val="16"/>
              </w:rPr>
            </w:pPr>
            <w:r w:rsidRPr="005576DF">
              <w:rPr>
                <w:rFonts w:ascii="Arial" w:hAnsi="Arial" w:cs="Arial"/>
                <w:sz w:val="16"/>
                <w:szCs w:val="16"/>
              </w:rPr>
              <w:t>10.4</w:t>
            </w:r>
          </w:p>
        </w:tc>
      </w:tr>
      <w:tr w:rsidR="005576DF" w:rsidRPr="005576DF" w:rsidTr="005576DF">
        <w:trPr>
          <w:trHeight w:val="300"/>
        </w:trPr>
        <w:tc>
          <w:tcPr>
            <w:tcW w:w="3062" w:type="dxa"/>
            <w:gridSpan w:val="3"/>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NYC-Manhattan Community District 9</w:t>
            </w:r>
          </w:p>
        </w:tc>
        <w:tc>
          <w:tcPr>
            <w:tcW w:w="663" w:type="dxa"/>
            <w:tcBorders>
              <w:top w:val="nil"/>
              <w:left w:val="nil"/>
              <w:bottom w:val="nil"/>
              <w:right w:val="nil"/>
            </w:tcBorders>
            <w:shd w:val="clear" w:color="auto" w:fill="auto"/>
            <w:vAlign w:val="bottom"/>
            <w:hideMark/>
          </w:tcPr>
          <w:p w:rsidR="005576DF" w:rsidRPr="005576DF" w:rsidRDefault="005576DF" w:rsidP="005576DF">
            <w:pPr>
              <w:rPr>
                <w:rFonts w:ascii="Arial" w:hAnsi="Arial" w:cs="Arial"/>
                <w:color w:val="000000"/>
                <w:sz w:val="16"/>
                <w:szCs w:val="16"/>
              </w:rPr>
            </w:pPr>
          </w:p>
        </w:tc>
        <w:tc>
          <w:tcPr>
            <w:tcW w:w="1556" w:type="dxa"/>
            <w:tcBorders>
              <w:top w:val="nil"/>
              <w:left w:val="nil"/>
              <w:bottom w:val="nil"/>
              <w:right w:val="nil"/>
            </w:tcBorders>
            <w:shd w:val="clear" w:color="auto" w:fill="auto"/>
            <w:noWrap/>
            <w:vAlign w:val="bottom"/>
            <w:hideMark/>
          </w:tcPr>
          <w:p w:rsidR="005576DF" w:rsidRPr="005576DF" w:rsidRDefault="005576DF" w:rsidP="005576DF">
            <w:pPr>
              <w:rPr>
                <w:rFonts w:ascii="Arial" w:hAnsi="Arial" w:cs="Arial"/>
                <w:color w:val="000000"/>
                <w:sz w:val="16"/>
                <w:szCs w:val="16"/>
              </w:rPr>
            </w:pPr>
            <w:r>
              <w:rPr>
                <w:rFonts w:ascii="Arial" w:hAnsi="Arial" w:cs="Arial"/>
                <w:color w:val="000000"/>
                <w:sz w:val="16"/>
                <w:szCs w:val="16"/>
              </w:rPr>
              <w:t>1</w:t>
            </w:r>
            <w:r w:rsidRPr="005576DF">
              <w:rPr>
                <w:rFonts w:ascii="Arial" w:hAnsi="Arial" w:cs="Arial"/>
                <w:color w:val="000000"/>
                <w:sz w:val="16"/>
                <w:szCs w:val="16"/>
              </w:rPr>
              <w:t xml:space="preserve">,404,086 </w:t>
            </w:r>
          </w:p>
        </w:tc>
        <w:tc>
          <w:tcPr>
            <w:tcW w:w="1115" w:type="dxa"/>
            <w:tcBorders>
              <w:top w:val="nil"/>
              <w:left w:val="nil"/>
              <w:bottom w:val="nil"/>
              <w:right w:val="nil"/>
            </w:tcBorders>
            <w:shd w:val="clear" w:color="auto" w:fill="auto"/>
            <w:noWrap/>
            <w:vAlign w:val="bottom"/>
            <w:hideMark/>
          </w:tcPr>
          <w:p w:rsidR="005576DF" w:rsidRPr="005576DF" w:rsidRDefault="005576DF" w:rsidP="005576DF">
            <w:pPr>
              <w:rPr>
                <w:rFonts w:ascii="Arial" w:hAnsi="Arial" w:cs="Arial"/>
                <w:color w:val="000000"/>
                <w:sz w:val="16"/>
                <w:szCs w:val="16"/>
              </w:rPr>
            </w:pPr>
            <w:r w:rsidRPr="005576DF">
              <w:rPr>
                <w:rFonts w:ascii="Arial" w:hAnsi="Arial" w:cs="Arial"/>
                <w:color w:val="000000"/>
                <w:sz w:val="16"/>
                <w:szCs w:val="16"/>
              </w:rPr>
              <w:t xml:space="preserve">103,316 </w:t>
            </w:r>
          </w:p>
        </w:tc>
        <w:tc>
          <w:tcPr>
            <w:tcW w:w="1244" w:type="dxa"/>
            <w:tcBorders>
              <w:top w:val="nil"/>
              <w:left w:val="nil"/>
              <w:bottom w:val="nil"/>
              <w:right w:val="nil"/>
            </w:tcBorders>
            <w:shd w:val="clear" w:color="auto" w:fill="auto"/>
            <w:noWrap/>
            <w:vAlign w:val="bottom"/>
            <w:hideMark/>
          </w:tcPr>
          <w:p w:rsidR="005576DF" w:rsidRPr="005576DF" w:rsidRDefault="005576DF" w:rsidP="005576DF">
            <w:pPr>
              <w:rPr>
                <w:rFonts w:ascii="Arial" w:hAnsi="Arial" w:cs="Arial"/>
                <w:color w:val="000000"/>
                <w:sz w:val="16"/>
                <w:szCs w:val="16"/>
              </w:rPr>
            </w:pPr>
            <w:r w:rsidRPr="005576DF">
              <w:rPr>
                <w:rFonts w:ascii="Arial" w:hAnsi="Arial" w:cs="Arial"/>
                <w:color w:val="000000"/>
                <w:sz w:val="16"/>
                <w:szCs w:val="16"/>
              </w:rPr>
              <w:t xml:space="preserve">         1,507,402 </w:t>
            </w:r>
          </w:p>
        </w:tc>
        <w:tc>
          <w:tcPr>
            <w:tcW w:w="1459" w:type="dxa"/>
            <w:tcBorders>
              <w:top w:val="nil"/>
              <w:left w:val="nil"/>
              <w:bottom w:val="nil"/>
              <w:right w:val="nil"/>
            </w:tcBorders>
            <w:shd w:val="clear" w:color="auto" w:fill="auto"/>
            <w:noWrap/>
            <w:vAlign w:val="bottom"/>
            <w:hideMark/>
          </w:tcPr>
          <w:p w:rsidR="005576DF" w:rsidRPr="005576DF" w:rsidRDefault="005576DF" w:rsidP="005576DF">
            <w:pPr>
              <w:jc w:val="right"/>
              <w:rPr>
                <w:rFonts w:ascii="Arial" w:hAnsi="Arial" w:cs="Arial"/>
                <w:sz w:val="16"/>
                <w:szCs w:val="16"/>
              </w:rPr>
            </w:pPr>
            <w:r w:rsidRPr="005576DF">
              <w:rPr>
                <w:rFonts w:ascii="Arial" w:hAnsi="Arial" w:cs="Arial"/>
                <w:sz w:val="16"/>
                <w:szCs w:val="16"/>
              </w:rPr>
              <w:t>6.9</w:t>
            </w:r>
          </w:p>
        </w:tc>
      </w:tr>
      <w:tr w:rsidR="005576DF" w:rsidRPr="005576DF" w:rsidTr="005576DF">
        <w:trPr>
          <w:trHeight w:val="300"/>
        </w:trPr>
        <w:tc>
          <w:tcPr>
            <w:tcW w:w="3062" w:type="dxa"/>
            <w:gridSpan w:val="3"/>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NYC-Manhattan Community District 10</w:t>
            </w:r>
          </w:p>
        </w:tc>
        <w:tc>
          <w:tcPr>
            <w:tcW w:w="663"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b/>
                <w:bCs/>
                <w:color w:val="000000"/>
                <w:sz w:val="16"/>
                <w:szCs w:val="16"/>
              </w:rPr>
            </w:pPr>
          </w:p>
        </w:tc>
        <w:tc>
          <w:tcPr>
            <w:tcW w:w="1556"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 xml:space="preserve">                      1,334,339 </w:t>
            </w:r>
          </w:p>
        </w:tc>
        <w:tc>
          <w:tcPr>
            <w:tcW w:w="1115"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 xml:space="preserve">            146,935 </w:t>
            </w:r>
          </w:p>
        </w:tc>
        <w:tc>
          <w:tcPr>
            <w:tcW w:w="1244"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 xml:space="preserve">              1,481,274 </w:t>
            </w:r>
          </w:p>
        </w:tc>
        <w:tc>
          <w:tcPr>
            <w:tcW w:w="1459" w:type="dxa"/>
            <w:tcBorders>
              <w:top w:val="nil"/>
              <w:left w:val="nil"/>
              <w:bottom w:val="nil"/>
              <w:right w:val="nil"/>
            </w:tcBorders>
            <w:shd w:val="clear" w:color="auto" w:fill="auto"/>
            <w:noWrap/>
            <w:vAlign w:val="bottom"/>
            <w:hideMark/>
          </w:tcPr>
          <w:p w:rsidR="005576DF" w:rsidRPr="005576DF" w:rsidRDefault="005576DF" w:rsidP="005576DF">
            <w:pPr>
              <w:jc w:val="right"/>
              <w:rPr>
                <w:rFonts w:ascii="Arial" w:hAnsi="Arial" w:cs="Arial"/>
                <w:sz w:val="16"/>
                <w:szCs w:val="16"/>
              </w:rPr>
            </w:pPr>
            <w:r w:rsidRPr="005576DF">
              <w:rPr>
                <w:rFonts w:ascii="Arial" w:hAnsi="Arial" w:cs="Arial"/>
                <w:sz w:val="16"/>
                <w:szCs w:val="16"/>
              </w:rPr>
              <w:t>9.9</w:t>
            </w:r>
          </w:p>
        </w:tc>
      </w:tr>
      <w:tr w:rsidR="005576DF" w:rsidRPr="005576DF" w:rsidTr="005576DF">
        <w:trPr>
          <w:trHeight w:val="300"/>
        </w:trPr>
        <w:tc>
          <w:tcPr>
            <w:tcW w:w="3062" w:type="dxa"/>
            <w:gridSpan w:val="3"/>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NYC-Manhattan Community District 11</w:t>
            </w:r>
          </w:p>
        </w:tc>
        <w:tc>
          <w:tcPr>
            <w:tcW w:w="663"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p>
        </w:tc>
        <w:tc>
          <w:tcPr>
            <w:tcW w:w="1556"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 xml:space="preserve">                      1,137,137 </w:t>
            </w:r>
          </w:p>
        </w:tc>
        <w:tc>
          <w:tcPr>
            <w:tcW w:w="1115"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 xml:space="preserve">            107,637 </w:t>
            </w:r>
          </w:p>
        </w:tc>
        <w:tc>
          <w:tcPr>
            <w:tcW w:w="1244"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 xml:space="preserve">              1,244,774 </w:t>
            </w:r>
          </w:p>
        </w:tc>
        <w:tc>
          <w:tcPr>
            <w:tcW w:w="1459" w:type="dxa"/>
            <w:tcBorders>
              <w:top w:val="nil"/>
              <w:left w:val="nil"/>
              <w:bottom w:val="nil"/>
              <w:right w:val="nil"/>
            </w:tcBorders>
            <w:shd w:val="clear" w:color="auto" w:fill="auto"/>
            <w:noWrap/>
            <w:vAlign w:val="bottom"/>
            <w:hideMark/>
          </w:tcPr>
          <w:p w:rsidR="005576DF" w:rsidRPr="005576DF" w:rsidRDefault="005576DF" w:rsidP="005576DF">
            <w:pPr>
              <w:jc w:val="right"/>
              <w:rPr>
                <w:rFonts w:ascii="Calibri" w:hAnsi="Calibri" w:cs="Calibri"/>
                <w:color w:val="000000"/>
                <w:sz w:val="16"/>
                <w:szCs w:val="16"/>
              </w:rPr>
            </w:pPr>
            <w:r w:rsidRPr="005576DF">
              <w:rPr>
                <w:rFonts w:ascii="Calibri" w:hAnsi="Calibri" w:cs="Calibri"/>
                <w:color w:val="000000"/>
                <w:sz w:val="16"/>
                <w:szCs w:val="16"/>
              </w:rPr>
              <w:t>8.6</w:t>
            </w:r>
          </w:p>
        </w:tc>
      </w:tr>
      <w:tr w:rsidR="005576DF" w:rsidRPr="005576DF" w:rsidTr="005576DF">
        <w:trPr>
          <w:trHeight w:val="300"/>
        </w:trPr>
        <w:tc>
          <w:tcPr>
            <w:tcW w:w="3062" w:type="dxa"/>
            <w:gridSpan w:val="3"/>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NYC-Manhattan Community District 7</w:t>
            </w:r>
          </w:p>
        </w:tc>
        <w:tc>
          <w:tcPr>
            <w:tcW w:w="663"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p>
        </w:tc>
        <w:tc>
          <w:tcPr>
            <w:tcW w:w="1556"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 xml:space="preserve">                      2,651,541 </w:t>
            </w:r>
          </w:p>
        </w:tc>
        <w:tc>
          <w:tcPr>
            <w:tcW w:w="1115"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 xml:space="preserve">            122,099 </w:t>
            </w:r>
          </w:p>
        </w:tc>
        <w:tc>
          <w:tcPr>
            <w:tcW w:w="1244"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 xml:space="preserve">              2,773,640 </w:t>
            </w:r>
          </w:p>
        </w:tc>
        <w:tc>
          <w:tcPr>
            <w:tcW w:w="1459" w:type="dxa"/>
            <w:tcBorders>
              <w:top w:val="nil"/>
              <w:left w:val="nil"/>
              <w:bottom w:val="nil"/>
              <w:right w:val="nil"/>
            </w:tcBorders>
            <w:shd w:val="clear" w:color="auto" w:fill="auto"/>
            <w:noWrap/>
            <w:vAlign w:val="bottom"/>
            <w:hideMark/>
          </w:tcPr>
          <w:p w:rsidR="005576DF" w:rsidRPr="005576DF" w:rsidRDefault="005576DF" w:rsidP="005576DF">
            <w:pPr>
              <w:jc w:val="right"/>
              <w:rPr>
                <w:rFonts w:ascii="Calibri" w:hAnsi="Calibri" w:cs="Calibri"/>
                <w:color w:val="000000"/>
                <w:sz w:val="16"/>
                <w:szCs w:val="16"/>
              </w:rPr>
            </w:pPr>
            <w:r w:rsidRPr="005576DF">
              <w:rPr>
                <w:rFonts w:ascii="Calibri" w:hAnsi="Calibri" w:cs="Calibri"/>
                <w:color w:val="000000"/>
                <w:sz w:val="16"/>
                <w:szCs w:val="16"/>
              </w:rPr>
              <w:t>4.4</w:t>
            </w:r>
          </w:p>
        </w:tc>
      </w:tr>
      <w:tr w:rsidR="005576DF" w:rsidRPr="005576DF" w:rsidTr="005576DF">
        <w:trPr>
          <w:trHeight w:val="300"/>
        </w:trPr>
        <w:tc>
          <w:tcPr>
            <w:tcW w:w="3062" w:type="dxa"/>
            <w:gridSpan w:val="3"/>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NYC-Manhattan Community District 4 &amp; 5</w:t>
            </w:r>
          </w:p>
        </w:tc>
        <w:tc>
          <w:tcPr>
            <w:tcW w:w="663"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p>
        </w:tc>
        <w:tc>
          <w:tcPr>
            <w:tcW w:w="1556"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 xml:space="preserve">                      2,278,008 </w:t>
            </w:r>
          </w:p>
        </w:tc>
        <w:tc>
          <w:tcPr>
            <w:tcW w:w="1115"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 xml:space="preserve">            114,217 </w:t>
            </w:r>
          </w:p>
        </w:tc>
        <w:tc>
          <w:tcPr>
            <w:tcW w:w="1244"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 xml:space="preserve">              2,392,225 </w:t>
            </w:r>
          </w:p>
        </w:tc>
        <w:tc>
          <w:tcPr>
            <w:tcW w:w="1459" w:type="dxa"/>
            <w:tcBorders>
              <w:top w:val="nil"/>
              <w:left w:val="nil"/>
              <w:bottom w:val="nil"/>
              <w:right w:val="nil"/>
            </w:tcBorders>
            <w:shd w:val="clear" w:color="auto" w:fill="auto"/>
            <w:noWrap/>
            <w:vAlign w:val="bottom"/>
            <w:hideMark/>
          </w:tcPr>
          <w:p w:rsidR="005576DF" w:rsidRPr="005576DF" w:rsidRDefault="005576DF" w:rsidP="005576DF">
            <w:pPr>
              <w:jc w:val="right"/>
              <w:rPr>
                <w:rFonts w:ascii="Calibri" w:hAnsi="Calibri" w:cs="Calibri"/>
                <w:color w:val="000000"/>
                <w:sz w:val="16"/>
                <w:szCs w:val="16"/>
              </w:rPr>
            </w:pPr>
            <w:r w:rsidRPr="005576DF">
              <w:rPr>
                <w:rFonts w:ascii="Calibri" w:hAnsi="Calibri" w:cs="Calibri"/>
                <w:color w:val="000000"/>
                <w:sz w:val="16"/>
                <w:szCs w:val="16"/>
              </w:rPr>
              <w:t>4.8</w:t>
            </w:r>
          </w:p>
        </w:tc>
      </w:tr>
      <w:tr w:rsidR="005576DF" w:rsidRPr="005576DF" w:rsidTr="005576DF">
        <w:trPr>
          <w:trHeight w:val="300"/>
        </w:trPr>
        <w:tc>
          <w:tcPr>
            <w:tcW w:w="3062" w:type="dxa"/>
            <w:gridSpan w:val="3"/>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b/>
                <w:bCs/>
                <w:color w:val="000000"/>
                <w:sz w:val="16"/>
                <w:szCs w:val="16"/>
              </w:rPr>
            </w:pPr>
            <w:r w:rsidRPr="005576DF">
              <w:rPr>
                <w:rFonts w:ascii="Calibri" w:hAnsi="Calibri" w:cs="Calibri"/>
                <w:b/>
                <w:bCs/>
                <w:color w:val="000000"/>
                <w:sz w:val="16"/>
                <w:szCs w:val="16"/>
              </w:rPr>
              <w:t xml:space="preserve">Total, contiguous community districts </w:t>
            </w:r>
          </w:p>
        </w:tc>
        <w:tc>
          <w:tcPr>
            <w:tcW w:w="663"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p>
        </w:tc>
        <w:tc>
          <w:tcPr>
            <w:tcW w:w="1556"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 xml:space="preserve">                   11,235,036 </w:t>
            </w:r>
          </w:p>
        </w:tc>
        <w:tc>
          <w:tcPr>
            <w:tcW w:w="1115"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 xml:space="preserve">            875,721 </w:t>
            </w:r>
          </w:p>
        </w:tc>
        <w:tc>
          <w:tcPr>
            <w:tcW w:w="1244" w:type="dxa"/>
            <w:tcBorders>
              <w:top w:val="nil"/>
              <w:left w:val="nil"/>
              <w:bottom w:val="nil"/>
              <w:right w:val="nil"/>
            </w:tcBorders>
            <w:shd w:val="clear" w:color="auto" w:fill="auto"/>
            <w:noWrap/>
            <w:vAlign w:val="bottom"/>
            <w:hideMark/>
          </w:tcPr>
          <w:p w:rsidR="005576DF" w:rsidRPr="005576DF" w:rsidRDefault="005576DF" w:rsidP="005576DF">
            <w:pPr>
              <w:rPr>
                <w:rFonts w:ascii="Calibri" w:hAnsi="Calibri" w:cs="Calibri"/>
                <w:color w:val="000000"/>
                <w:sz w:val="16"/>
                <w:szCs w:val="16"/>
              </w:rPr>
            </w:pPr>
            <w:r w:rsidRPr="005576DF">
              <w:rPr>
                <w:rFonts w:ascii="Calibri" w:hAnsi="Calibri" w:cs="Calibri"/>
                <w:color w:val="000000"/>
                <w:sz w:val="16"/>
                <w:szCs w:val="16"/>
              </w:rPr>
              <w:t xml:space="preserve">           12,110,757 </w:t>
            </w:r>
          </w:p>
        </w:tc>
        <w:tc>
          <w:tcPr>
            <w:tcW w:w="1459" w:type="dxa"/>
            <w:tcBorders>
              <w:top w:val="nil"/>
              <w:left w:val="nil"/>
              <w:bottom w:val="nil"/>
              <w:right w:val="nil"/>
            </w:tcBorders>
            <w:shd w:val="clear" w:color="auto" w:fill="auto"/>
            <w:noWrap/>
            <w:vAlign w:val="bottom"/>
            <w:hideMark/>
          </w:tcPr>
          <w:p w:rsidR="005576DF" w:rsidRPr="005576DF" w:rsidRDefault="005576DF" w:rsidP="005576DF">
            <w:pPr>
              <w:jc w:val="right"/>
              <w:rPr>
                <w:rFonts w:ascii="Calibri" w:hAnsi="Calibri" w:cs="Calibri"/>
                <w:color w:val="000000"/>
                <w:sz w:val="16"/>
                <w:szCs w:val="16"/>
              </w:rPr>
            </w:pPr>
            <w:r w:rsidRPr="005576DF">
              <w:rPr>
                <w:rFonts w:ascii="Calibri" w:hAnsi="Calibri" w:cs="Calibri"/>
                <w:color w:val="000000"/>
                <w:sz w:val="16"/>
                <w:szCs w:val="16"/>
              </w:rPr>
              <w:t>7.2</w:t>
            </w:r>
          </w:p>
        </w:tc>
      </w:tr>
    </w:tbl>
    <w:p w:rsidR="00183C13" w:rsidRDefault="00183C13" w:rsidP="00E96206">
      <w:pPr>
        <w:ind w:left="420"/>
        <w:rPr>
          <w:sz w:val="24"/>
          <w:szCs w:val="24"/>
        </w:rPr>
      </w:pPr>
    </w:p>
    <w:p w:rsidR="00183C13" w:rsidRDefault="00183C13" w:rsidP="00E96206">
      <w:pPr>
        <w:ind w:left="420"/>
        <w:rPr>
          <w:sz w:val="24"/>
          <w:szCs w:val="24"/>
        </w:rPr>
      </w:pPr>
    </w:p>
    <w:p w:rsidR="00522BDD" w:rsidRPr="00A83654" w:rsidRDefault="00522BDD" w:rsidP="005576DF">
      <w:pPr>
        <w:pStyle w:val="NormalWeb"/>
        <w:shd w:val="clear" w:color="auto" w:fill="FFFFFF"/>
      </w:pPr>
    </w:p>
    <w:p w:rsidR="00882E3D" w:rsidRDefault="00DF632A" w:rsidP="00656A81">
      <w:pPr>
        <w:pStyle w:val="ListParagraph"/>
        <w:ind w:left="780"/>
        <w:rPr>
          <w:sz w:val="24"/>
          <w:szCs w:val="24"/>
        </w:rPr>
      </w:pPr>
      <w:r w:rsidRPr="00DF632A">
        <w:rPr>
          <w:sz w:val="23"/>
          <w:szCs w:val="23"/>
        </w:rPr>
        <w:t>  </w:t>
      </w:r>
    </w:p>
    <w:p w:rsidR="00E96206" w:rsidRPr="00CB43CB" w:rsidRDefault="007772E2" w:rsidP="00CB43CB">
      <w:pPr>
        <w:numPr>
          <w:ilvl w:val="0"/>
          <w:numId w:val="1"/>
        </w:numPr>
        <w:rPr>
          <w:sz w:val="24"/>
          <w:szCs w:val="24"/>
        </w:rPr>
      </w:pPr>
      <w:r w:rsidRPr="00E96206">
        <w:rPr>
          <w:b/>
          <w:sz w:val="24"/>
          <w:szCs w:val="24"/>
        </w:rPr>
        <w:t xml:space="preserve">Anticipated </w:t>
      </w:r>
      <w:r w:rsidR="005D0579">
        <w:rPr>
          <w:b/>
          <w:sz w:val="24"/>
          <w:szCs w:val="24"/>
        </w:rPr>
        <w:t>i</w:t>
      </w:r>
      <w:r w:rsidRPr="00E96206">
        <w:rPr>
          <w:b/>
          <w:sz w:val="24"/>
          <w:szCs w:val="24"/>
        </w:rPr>
        <w:t xml:space="preserve">mpact on </w:t>
      </w:r>
      <w:r w:rsidR="005D0579">
        <w:rPr>
          <w:b/>
          <w:sz w:val="24"/>
          <w:szCs w:val="24"/>
        </w:rPr>
        <w:t>h</w:t>
      </w:r>
      <w:r w:rsidRPr="00E96206">
        <w:rPr>
          <w:b/>
          <w:sz w:val="24"/>
          <w:szCs w:val="24"/>
        </w:rPr>
        <w:t xml:space="preserve">ouseholds and State </w:t>
      </w:r>
      <w:r w:rsidR="008527F0">
        <w:rPr>
          <w:b/>
          <w:sz w:val="24"/>
          <w:szCs w:val="24"/>
        </w:rPr>
        <w:t>a</w:t>
      </w:r>
      <w:r w:rsidRPr="00E96206">
        <w:rPr>
          <w:b/>
          <w:sz w:val="24"/>
          <w:szCs w:val="24"/>
        </w:rPr>
        <w:t xml:space="preserve">gency </w:t>
      </w:r>
      <w:r w:rsidR="005D0579">
        <w:rPr>
          <w:b/>
          <w:sz w:val="24"/>
          <w:szCs w:val="24"/>
        </w:rPr>
        <w:t>o</w:t>
      </w:r>
      <w:r w:rsidRPr="00E96206">
        <w:rPr>
          <w:b/>
          <w:sz w:val="24"/>
          <w:szCs w:val="24"/>
        </w:rPr>
        <w:t xml:space="preserve">perations: </w:t>
      </w:r>
      <w:r w:rsidR="00600C5C">
        <w:rPr>
          <w:b/>
          <w:sz w:val="24"/>
          <w:szCs w:val="24"/>
        </w:rPr>
        <w:t xml:space="preserve"> </w:t>
      </w:r>
      <w:r w:rsidR="00CB43CB" w:rsidRPr="00C31D63">
        <w:rPr>
          <w:sz w:val="24"/>
          <w:szCs w:val="24"/>
        </w:rPr>
        <w:t>This waiver will provide consistency for households and State agency operations in areas where unemployment remains higher than the national average.</w:t>
      </w:r>
    </w:p>
    <w:p w:rsidR="00E501DD" w:rsidRDefault="00E501DD">
      <w:pPr>
        <w:ind w:left="420"/>
        <w:rPr>
          <w:b/>
          <w:sz w:val="24"/>
          <w:szCs w:val="24"/>
        </w:rPr>
      </w:pPr>
    </w:p>
    <w:p w:rsidR="00E96206" w:rsidRPr="00CB43CB" w:rsidRDefault="00D408A5" w:rsidP="00CB43CB">
      <w:pPr>
        <w:numPr>
          <w:ilvl w:val="0"/>
          <w:numId w:val="1"/>
        </w:numPr>
        <w:rPr>
          <w:sz w:val="24"/>
          <w:szCs w:val="24"/>
        </w:rPr>
      </w:pPr>
      <w:r w:rsidRPr="00E96206">
        <w:rPr>
          <w:b/>
          <w:sz w:val="24"/>
          <w:szCs w:val="24"/>
        </w:rPr>
        <w:t xml:space="preserve">Caseload </w:t>
      </w:r>
      <w:r w:rsidR="005D0579">
        <w:rPr>
          <w:b/>
          <w:sz w:val="24"/>
          <w:szCs w:val="24"/>
        </w:rPr>
        <w:t>i</w:t>
      </w:r>
      <w:r w:rsidRPr="00E96206">
        <w:rPr>
          <w:b/>
          <w:sz w:val="24"/>
          <w:szCs w:val="24"/>
        </w:rPr>
        <w:t xml:space="preserve">nformation, including </w:t>
      </w:r>
      <w:r w:rsidR="005D0579">
        <w:rPr>
          <w:b/>
          <w:sz w:val="24"/>
          <w:szCs w:val="24"/>
        </w:rPr>
        <w:t>p</w:t>
      </w:r>
      <w:r w:rsidRPr="00E96206">
        <w:rPr>
          <w:b/>
          <w:sz w:val="24"/>
          <w:szCs w:val="24"/>
        </w:rPr>
        <w:t xml:space="preserve">ercent, </w:t>
      </w:r>
      <w:r w:rsidR="005D0579">
        <w:rPr>
          <w:b/>
          <w:sz w:val="24"/>
          <w:szCs w:val="24"/>
        </w:rPr>
        <w:t>c</w:t>
      </w:r>
      <w:r w:rsidRPr="00E96206">
        <w:rPr>
          <w:b/>
          <w:sz w:val="24"/>
          <w:szCs w:val="24"/>
        </w:rPr>
        <w:t xml:space="preserve">haracteristics, and </w:t>
      </w:r>
      <w:r w:rsidR="005D0579">
        <w:rPr>
          <w:b/>
          <w:sz w:val="24"/>
          <w:szCs w:val="24"/>
        </w:rPr>
        <w:t>q</w:t>
      </w:r>
      <w:r w:rsidRPr="00E96206">
        <w:rPr>
          <w:b/>
          <w:sz w:val="24"/>
          <w:szCs w:val="24"/>
        </w:rPr>
        <w:t xml:space="preserve">uality </w:t>
      </w:r>
      <w:r w:rsidR="005D0579">
        <w:rPr>
          <w:b/>
          <w:sz w:val="24"/>
          <w:szCs w:val="24"/>
        </w:rPr>
        <w:t>c</w:t>
      </w:r>
      <w:r w:rsidRPr="00E96206">
        <w:rPr>
          <w:b/>
          <w:sz w:val="24"/>
          <w:szCs w:val="24"/>
        </w:rPr>
        <w:t xml:space="preserve">ontrol </w:t>
      </w:r>
      <w:r w:rsidR="005D0579">
        <w:rPr>
          <w:b/>
          <w:sz w:val="24"/>
          <w:szCs w:val="24"/>
        </w:rPr>
        <w:t>e</w:t>
      </w:r>
      <w:r w:rsidR="00E96206">
        <w:rPr>
          <w:b/>
          <w:sz w:val="24"/>
          <w:szCs w:val="24"/>
        </w:rPr>
        <w:t xml:space="preserve">rror </w:t>
      </w:r>
      <w:r w:rsidR="005D0579">
        <w:rPr>
          <w:b/>
          <w:sz w:val="24"/>
          <w:szCs w:val="24"/>
        </w:rPr>
        <w:t>r</w:t>
      </w:r>
      <w:r w:rsidR="00E96206">
        <w:rPr>
          <w:b/>
          <w:sz w:val="24"/>
          <w:szCs w:val="24"/>
        </w:rPr>
        <w:t xml:space="preserve">ate for </w:t>
      </w:r>
      <w:r w:rsidR="005D0579">
        <w:rPr>
          <w:b/>
          <w:sz w:val="24"/>
          <w:szCs w:val="24"/>
        </w:rPr>
        <w:t>a</w:t>
      </w:r>
      <w:r w:rsidR="00E96206">
        <w:rPr>
          <w:b/>
          <w:sz w:val="24"/>
          <w:szCs w:val="24"/>
        </w:rPr>
        <w:t xml:space="preserve">ffection </w:t>
      </w:r>
      <w:r w:rsidR="005D0579">
        <w:rPr>
          <w:b/>
          <w:sz w:val="24"/>
          <w:szCs w:val="24"/>
        </w:rPr>
        <w:t>p</w:t>
      </w:r>
      <w:r w:rsidR="00E96206">
        <w:rPr>
          <w:b/>
          <w:sz w:val="24"/>
          <w:szCs w:val="24"/>
        </w:rPr>
        <w:t>ortion</w:t>
      </w:r>
      <w:r w:rsidR="007B2FEA">
        <w:rPr>
          <w:b/>
          <w:sz w:val="24"/>
          <w:szCs w:val="24"/>
        </w:rPr>
        <w:t xml:space="preserve"> (if applicable)</w:t>
      </w:r>
      <w:r w:rsidR="00E96206">
        <w:rPr>
          <w:b/>
          <w:sz w:val="24"/>
          <w:szCs w:val="24"/>
        </w:rPr>
        <w:t>:</w:t>
      </w:r>
      <w:r w:rsidR="00600C5C">
        <w:rPr>
          <w:b/>
          <w:sz w:val="24"/>
          <w:szCs w:val="24"/>
        </w:rPr>
        <w:t xml:space="preserve">  </w:t>
      </w:r>
      <w:r w:rsidR="000C0C2F">
        <w:rPr>
          <w:sz w:val="24"/>
          <w:szCs w:val="24"/>
        </w:rPr>
        <w:t xml:space="preserve">The estimated number of </w:t>
      </w:r>
      <w:r w:rsidR="000C0C2F">
        <w:rPr>
          <w:sz w:val="24"/>
          <w:szCs w:val="24"/>
        </w:rPr>
        <w:lastRenderedPageBreak/>
        <w:t>ABAWDS to be waived by this waiver request is approximately</w:t>
      </w:r>
      <w:r w:rsidR="006E47BB">
        <w:rPr>
          <w:sz w:val="24"/>
          <w:szCs w:val="24"/>
        </w:rPr>
        <w:t>14</w:t>
      </w:r>
      <w:proofErr w:type="gramStart"/>
      <w:r w:rsidR="006E47BB">
        <w:rPr>
          <w:sz w:val="24"/>
          <w:szCs w:val="24"/>
        </w:rPr>
        <w:t>,622</w:t>
      </w:r>
      <w:proofErr w:type="gramEnd"/>
      <w:r w:rsidR="006E47BB">
        <w:rPr>
          <w:sz w:val="24"/>
          <w:szCs w:val="24"/>
        </w:rPr>
        <w:t xml:space="preserve"> (including previously approved areas)</w:t>
      </w:r>
      <w:r w:rsidR="008B6637">
        <w:rPr>
          <w:sz w:val="24"/>
          <w:szCs w:val="24"/>
        </w:rPr>
        <w:t xml:space="preserve">.  </w:t>
      </w:r>
      <w:r w:rsidR="00CB43CB" w:rsidRPr="00C31D63">
        <w:rPr>
          <w:sz w:val="24"/>
          <w:szCs w:val="24"/>
        </w:rPr>
        <w:t>There are no quality control procedures involved</w:t>
      </w:r>
      <w:r w:rsidR="00CB43CB">
        <w:rPr>
          <w:sz w:val="24"/>
          <w:szCs w:val="24"/>
        </w:rPr>
        <w:t>.</w:t>
      </w:r>
    </w:p>
    <w:p w:rsidR="00E501DD" w:rsidRDefault="00E501DD">
      <w:pPr>
        <w:ind w:left="420"/>
        <w:rPr>
          <w:b/>
          <w:sz w:val="24"/>
          <w:szCs w:val="24"/>
        </w:rPr>
      </w:pPr>
    </w:p>
    <w:p w:rsidR="005D0579" w:rsidRDefault="007772E2" w:rsidP="005D0579">
      <w:pPr>
        <w:numPr>
          <w:ilvl w:val="0"/>
          <w:numId w:val="1"/>
        </w:numPr>
        <w:rPr>
          <w:b/>
          <w:sz w:val="24"/>
          <w:szCs w:val="24"/>
        </w:rPr>
      </w:pPr>
      <w:r w:rsidRPr="00E96206">
        <w:rPr>
          <w:b/>
          <w:sz w:val="24"/>
          <w:szCs w:val="24"/>
        </w:rPr>
        <w:t xml:space="preserve">Anticipated </w:t>
      </w:r>
      <w:r w:rsidR="005D0579">
        <w:rPr>
          <w:b/>
          <w:sz w:val="24"/>
          <w:szCs w:val="24"/>
        </w:rPr>
        <w:t>i</w:t>
      </w:r>
      <w:r w:rsidRPr="00E96206">
        <w:rPr>
          <w:b/>
          <w:sz w:val="24"/>
          <w:szCs w:val="24"/>
        </w:rPr>
        <w:t xml:space="preserve">mplementation </w:t>
      </w:r>
      <w:r w:rsidR="005D0579">
        <w:rPr>
          <w:b/>
          <w:sz w:val="24"/>
          <w:szCs w:val="24"/>
        </w:rPr>
        <w:t>d</w:t>
      </w:r>
      <w:r w:rsidRPr="00E96206">
        <w:rPr>
          <w:b/>
          <w:sz w:val="24"/>
          <w:szCs w:val="24"/>
        </w:rPr>
        <w:t xml:space="preserve">ate and </w:t>
      </w:r>
      <w:r w:rsidR="005D0579">
        <w:rPr>
          <w:b/>
          <w:sz w:val="24"/>
          <w:szCs w:val="24"/>
        </w:rPr>
        <w:t>t</w:t>
      </w:r>
      <w:r w:rsidRPr="00E96206">
        <w:rPr>
          <w:b/>
          <w:sz w:val="24"/>
          <w:szCs w:val="24"/>
        </w:rPr>
        <w:t xml:space="preserve">ime </w:t>
      </w:r>
      <w:r w:rsidR="005D0579">
        <w:rPr>
          <w:b/>
          <w:sz w:val="24"/>
          <w:szCs w:val="24"/>
        </w:rPr>
        <w:t>period for which waiver is needed:</w:t>
      </w:r>
      <w:r w:rsidR="00600C5C">
        <w:rPr>
          <w:b/>
          <w:sz w:val="24"/>
          <w:szCs w:val="24"/>
        </w:rPr>
        <w:t xml:space="preserve">  </w:t>
      </w:r>
      <w:r w:rsidR="00CB43CB" w:rsidRPr="00CB43CB">
        <w:rPr>
          <w:sz w:val="24"/>
          <w:szCs w:val="24"/>
        </w:rPr>
        <w:t>The State is requesting a one-year waiver, from January 1, 2016-December 31, 2016.</w:t>
      </w:r>
      <w:r w:rsidR="00CB43CB">
        <w:rPr>
          <w:b/>
          <w:sz w:val="24"/>
          <w:szCs w:val="24"/>
        </w:rPr>
        <w:t xml:space="preserve"> </w:t>
      </w:r>
    </w:p>
    <w:p w:rsidR="00600C5C" w:rsidRDefault="00600C5C" w:rsidP="00600C5C">
      <w:pPr>
        <w:rPr>
          <w:b/>
          <w:sz w:val="24"/>
          <w:szCs w:val="24"/>
        </w:rPr>
      </w:pPr>
    </w:p>
    <w:p w:rsidR="0028184A" w:rsidRPr="00CB43CB" w:rsidRDefault="005D0579" w:rsidP="00CB43CB">
      <w:pPr>
        <w:numPr>
          <w:ilvl w:val="0"/>
          <w:numId w:val="1"/>
        </w:numPr>
        <w:rPr>
          <w:sz w:val="24"/>
          <w:szCs w:val="24"/>
        </w:rPr>
      </w:pPr>
      <w:r w:rsidRPr="005D0579">
        <w:rPr>
          <w:b/>
          <w:sz w:val="24"/>
          <w:szCs w:val="24"/>
        </w:rPr>
        <w:t>Proposed quality c</w:t>
      </w:r>
      <w:r w:rsidR="0028184A" w:rsidRPr="005D0579">
        <w:rPr>
          <w:b/>
          <w:sz w:val="24"/>
          <w:szCs w:val="24"/>
        </w:rPr>
        <w:t xml:space="preserve">ontrol </w:t>
      </w:r>
      <w:r w:rsidRPr="005D0579">
        <w:rPr>
          <w:b/>
          <w:sz w:val="24"/>
          <w:szCs w:val="24"/>
        </w:rPr>
        <w:t>r</w:t>
      </w:r>
      <w:r w:rsidR="0028184A" w:rsidRPr="005D0579">
        <w:rPr>
          <w:b/>
          <w:sz w:val="24"/>
          <w:szCs w:val="24"/>
        </w:rPr>
        <w:t xml:space="preserve">eview </w:t>
      </w:r>
      <w:r w:rsidRPr="005D0579">
        <w:rPr>
          <w:b/>
          <w:sz w:val="24"/>
          <w:szCs w:val="24"/>
        </w:rPr>
        <w:t>p</w:t>
      </w:r>
      <w:r w:rsidR="0028184A" w:rsidRPr="005D0579">
        <w:rPr>
          <w:b/>
          <w:sz w:val="24"/>
          <w:szCs w:val="24"/>
        </w:rPr>
        <w:t xml:space="preserve">rocedures: </w:t>
      </w:r>
      <w:r w:rsidR="00600C5C">
        <w:rPr>
          <w:b/>
          <w:sz w:val="24"/>
          <w:szCs w:val="24"/>
        </w:rPr>
        <w:t xml:space="preserve"> </w:t>
      </w:r>
      <w:r w:rsidR="00CB43CB" w:rsidRPr="00C31D63">
        <w:rPr>
          <w:sz w:val="24"/>
          <w:szCs w:val="24"/>
        </w:rPr>
        <w:t xml:space="preserve">There </w:t>
      </w:r>
      <w:proofErr w:type="gramStart"/>
      <w:r w:rsidR="00CB43CB" w:rsidRPr="00C31D63">
        <w:rPr>
          <w:sz w:val="24"/>
          <w:szCs w:val="24"/>
        </w:rPr>
        <w:t>are</w:t>
      </w:r>
      <w:proofErr w:type="gramEnd"/>
      <w:r w:rsidR="00CB43CB" w:rsidRPr="00C31D63">
        <w:rPr>
          <w:sz w:val="24"/>
          <w:szCs w:val="24"/>
        </w:rPr>
        <w:t xml:space="preserve"> no special quality control procedures needed in conjunction with this waiver.</w:t>
      </w:r>
    </w:p>
    <w:p w:rsidR="00E501DD" w:rsidRDefault="00E501DD">
      <w:pPr>
        <w:ind w:left="420" w:right="-720"/>
        <w:rPr>
          <w:b/>
          <w:sz w:val="24"/>
          <w:szCs w:val="24"/>
        </w:rPr>
      </w:pPr>
    </w:p>
    <w:p w:rsidR="00CE7EB2" w:rsidRPr="000C0C2F" w:rsidRDefault="00A2676B" w:rsidP="00CE7EB2">
      <w:pPr>
        <w:numPr>
          <w:ilvl w:val="0"/>
          <w:numId w:val="1"/>
        </w:numPr>
        <w:rPr>
          <w:sz w:val="24"/>
          <w:szCs w:val="24"/>
        </w:rPr>
      </w:pPr>
      <w:r>
        <w:rPr>
          <w:b/>
          <w:sz w:val="24"/>
          <w:szCs w:val="24"/>
        </w:rPr>
        <w:t xml:space="preserve">State </w:t>
      </w:r>
      <w:r w:rsidR="005D0579">
        <w:rPr>
          <w:b/>
          <w:sz w:val="24"/>
          <w:szCs w:val="24"/>
        </w:rPr>
        <w:t>a</w:t>
      </w:r>
      <w:r>
        <w:rPr>
          <w:b/>
          <w:sz w:val="24"/>
          <w:szCs w:val="24"/>
        </w:rPr>
        <w:t xml:space="preserve">gency </w:t>
      </w:r>
      <w:r w:rsidR="005D0579">
        <w:rPr>
          <w:b/>
          <w:sz w:val="24"/>
          <w:szCs w:val="24"/>
        </w:rPr>
        <w:t>s</w:t>
      </w:r>
      <w:r>
        <w:rPr>
          <w:b/>
          <w:sz w:val="24"/>
          <w:szCs w:val="24"/>
        </w:rPr>
        <w:t xml:space="preserve">ubmitting </w:t>
      </w:r>
      <w:r w:rsidR="005D0579">
        <w:rPr>
          <w:b/>
          <w:sz w:val="24"/>
          <w:szCs w:val="24"/>
        </w:rPr>
        <w:t>w</w:t>
      </w:r>
      <w:r>
        <w:rPr>
          <w:b/>
          <w:sz w:val="24"/>
          <w:szCs w:val="24"/>
        </w:rPr>
        <w:t xml:space="preserve">aiver </w:t>
      </w:r>
      <w:r w:rsidR="005D0579">
        <w:rPr>
          <w:b/>
          <w:sz w:val="24"/>
          <w:szCs w:val="24"/>
        </w:rPr>
        <w:t>r</w:t>
      </w:r>
      <w:r>
        <w:rPr>
          <w:b/>
          <w:sz w:val="24"/>
          <w:szCs w:val="24"/>
        </w:rPr>
        <w:t xml:space="preserve">equest and </w:t>
      </w:r>
      <w:r w:rsidR="005D0579">
        <w:rPr>
          <w:b/>
          <w:sz w:val="24"/>
          <w:szCs w:val="24"/>
        </w:rPr>
        <w:t>S</w:t>
      </w:r>
      <w:r>
        <w:rPr>
          <w:b/>
          <w:sz w:val="24"/>
          <w:szCs w:val="24"/>
        </w:rPr>
        <w:t xml:space="preserve">tate </w:t>
      </w:r>
      <w:r w:rsidR="005D0579">
        <w:rPr>
          <w:b/>
          <w:sz w:val="24"/>
          <w:szCs w:val="24"/>
        </w:rPr>
        <w:t>c</w:t>
      </w:r>
      <w:r>
        <w:rPr>
          <w:b/>
          <w:sz w:val="24"/>
          <w:szCs w:val="24"/>
        </w:rPr>
        <w:t xml:space="preserve">ontact </w:t>
      </w:r>
      <w:r w:rsidR="005D0579">
        <w:rPr>
          <w:b/>
          <w:sz w:val="24"/>
          <w:szCs w:val="24"/>
        </w:rPr>
        <w:t>p</w:t>
      </w:r>
      <w:r>
        <w:rPr>
          <w:b/>
          <w:sz w:val="24"/>
          <w:szCs w:val="24"/>
        </w:rPr>
        <w:t>erson:</w:t>
      </w:r>
      <w:r w:rsidR="00600C5C">
        <w:rPr>
          <w:b/>
          <w:sz w:val="24"/>
          <w:szCs w:val="24"/>
        </w:rPr>
        <w:t xml:space="preserve">  </w:t>
      </w:r>
      <w:r w:rsidR="000C0C2F" w:rsidRPr="000C0C2F">
        <w:rPr>
          <w:sz w:val="24"/>
          <w:szCs w:val="24"/>
        </w:rPr>
        <w:t>New York State Office of Temporary and Disability Assistance</w:t>
      </w:r>
      <w:r w:rsidR="000C0C2F">
        <w:rPr>
          <w:sz w:val="24"/>
          <w:szCs w:val="24"/>
        </w:rPr>
        <w:t>, Phyllis Morris</w:t>
      </w:r>
    </w:p>
    <w:p w:rsidR="00696D74" w:rsidRDefault="00696D74" w:rsidP="00CE7EB2">
      <w:pPr>
        <w:pStyle w:val="ListParagraph"/>
        <w:rPr>
          <w:b/>
          <w:sz w:val="24"/>
          <w:szCs w:val="24"/>
        </w:rPr>
      </w:pPr>
    </w:p>
    <w:p w:rsidR="00696D74" w:rsidRDefault="00696D74" w:rsidP="00CE7EB2">
      <w:pPr>
        <w:pStyle w:val="ListParagraph"/>
        <w:rPr>
          <w:b/>
          <w:sz w:val="24"/>
          <w:szCs w:val="24"/>
        </w:rPr>
      </w:pPr>
    </w:p>
    <w:p w:rsidR="00A2676B" w:rsidRPr="00CE7EB2" w:rsidRDefault="007772E2" w:rsidP="00CE7EB2">
      <w:pPr>
        <w:numPr>
          <w:ilvl w:val="0"/>
          <w:numId w:val="1"/>
        </w:numPr>
        <w:rPr>
          <w:b/>
          <w:sz w:val="24"/>
          <w:szCs w:val="24"/>
        </w:rPr>
      </w:pPr>
      <w:r w:rsidRPr="00CE7EB2">
        <w:rPr>
          <w:b/>
          <w:sz w:val="24"/>
          <w:szCs w:val="24"/>
        </w:rPr>
        <w:t xml:space="preserve">Signature and </w:t>
      </w:r>
      <w:r w:rsidR="005D0579" w:rsidRPr="00CE7EB2">
        <w:rPr>
          <w:b/>
          <w:sz w:val="24"/>
          <w:szCs w:val="24"/>
        </w:rPr>
        <w:t>t</w:t>
      </w:r>
      <w:r w:rsidRPr="00CE7EB2">
        <w:rPr>
          <w:b/>
          <w:sz w:val="24"/>
          <w:szCs w:val="24"/>
        </w:rPr>
        <w:t xml:space="preserve">itle of </w:t>
      </w:r>
      <w:r w:rsidR="005D0579" w:rsidRPr="00CE7EB2">
        <w:rPr>
          <w:b/>
          <w:sz w:val="24"/>
          <w:szCs w:val="24"/>
        </w:rPr>
        <w:t>r</w:t>
      </w:r>
      <w:r w:rsidRPr="00CE7EB2">
        <w:rPr>
          <w:b/>
          <w:sz w:val="24"/>
          <w:szCs w:val="24"/>
        </w:rPr>
        <w:t xml:space="preserve">equesting </w:t>
      </w:r>
      <w:r w:rsidR="005D0579" w:rsidRPr="00CE7EB2">
        <w:rPr>
          <w:b/>
          <w:sz w:val="24"/>
          <w:szCs w:val="24"/>
        </w:rPr>
        <w:t>o</w:t>
      </w:r>
      <w:r w:rsidRPr="00CE7EB2">
        <w:rPr>
          <w:b/>
          <w:sz w:val="24"/>
          <w:szCs w:val="24"/>
        </w:rPr>
        <w:t>fficial:</w:t>
      </w:r>
      <w:r w:rsidR="00600C5C" w:rsidRPr="00CE7EB2">
        <w:rPr>
          <w:b/>
          <w:sz w:val="24"/>
          <w:szCs w:val="24"/>
        </w:rPr>
        <w:t xml:space="preserve">  </w:t>
      </w:r>
    </w:p>
    <w:p w:rsidR="00E501DD" w:rsidRDefault="00E501DD">
      <w:pPr>
        <w:ind w:left="450"/>
        <w:rPr>
          <w:b/>
          <w:sz w:val="24"/>
          <w:szCs w:val="24"/>
        </w:rPr>
      </w:pPr>
    </w:p>
    <w:p w:rsidR="00A2676B" w:rsidRDefault="00B04019" w:rsidP="00A2676B">
      <w:pPr>
        <w:ind w:left="810" w:right="-720"/>
        <w:rPr>
          <w:rStyle w:val="Hyperlink"/>
          <w:sz w:val="24"/>
          <w:szCs w:val="24"/>
        </w:rPr>
      </w:pPr>
      <w:r>
        <w:rPr>
          <w:b/>
          <w:i/>
          <w:sz w:val="24"/>
          <w:szCs w:val="24"/>
        </w:rPr>
        <w:t>Phyllis Morris</w:t>
      </w:r>
      <w:r w:rsidRPr="00DD13CD">
        <w:rPr>
          <w:b/>
          <w:i/>
          <w:sz w:val="24"/>
          <w:szCs w:val="24"/>
        </w:rPr>
        <w:t xml:space="preserve"> </w:t>
      </w:r>
      <w:r w:rsidR="00313772" w:rsidRPr="00DD13CD">
        <w:rPr>
          <w:b/>
          <w:i/>
          <w:sz w:val="24"/>
          <w:szCs w:val="24"/>
        </w:rPr>
        <w:br/>
      </w:r>
      <w:r w:rsidR="00313772" w:rsidRPr="00313772">
        <w:rPr>
          <w:sz w:val="24"/>
          <w:szCs w:val="24"/>
        </w:rPr>
        <w:t xml:space="preserve">Title: </w:t>
      </w:r>
      <w:r w:rsidR="00462E36">
        <w:rPr>
          <w:sz w:val="24"/>
          <w:szCs w:val="24"/>
        </w:rPr>
        <w:t xml:space="preserve"> </w:t>
      </w:r>
      <w:r w:rsidR="000C0C2F">
        <w:rPr>
          <w:sz w:val="24"/>
          <w:szCs w:val="24"/>
        </w:rPr>
        <w:t>Deputy Commissioner</w:t>
      </w:r>
      <w:r w:rsidR="00313772">
        <w:rPr>
          <w:sz w:val="24"/>
          <w:szCs w:val="24"/>
        </w:rPr>
        <w:br/>
      </w:r>
      <w:r w:rsidR="006A3A89">
        <w:rPr>
          <w:sz w:val="24"/>
          <w:szCs w:val="24"/>
        </w:rPr>
        <w:t>Email</w:t>
      </w:r>
      <w:r w:rsidR="00DB106F">
        <w:rPr>
          <w:sz w:val="24"/>
          <w:szCs w:val="24"/>
        </w:rPr>
        <w:t xml:space="preserve"> for transmission of response</w:t>
      </w:r>
      <w:r w:rsidR="006A3A89">
        <w:rPr>
          <w:sz w:val="24"/>
          <w:szCs w:val="24"/>
        </w:rPr>
        <w:t xml:space="preserve">: </w:t>
      </w:r>
      <w:r w:rsidR="00462E36">
        <w:rPr>
          <w:sz w:val="24"/>
          <w:szCs w:val="24"/>
        </w:rPr>
        <w:t xml:space="preserve"> </w:t>
      </w:r>
      <w:hyperlink r:id="rId12" w:history="1">
        <w:r w:rsidR="000C0C2F" w:rsidRPr="00AC2142">
          <w:rPr>
            <w:rStyle w:val="Hyperlink"/>
            <w:sz w:val="24"/>
            <w:szCs w:val="24"/>
          </w:rPr>
          <w:t>Phyllis.Morris@otda.ny.gov</w:t>
        </w:r>
      </w:hyperlink>
    </w:p>
    <w:p w:rsidR="00B04019" w:rsidRDefault="00B04019" w:rsidP="00A2676B">
      <w:pPr>
        <w:ind w:left="810" w:right="-720"/>
        <w:rPr>
          <w:b/>
          <w:sz w:val="24"/>
          <w:szCs w:val="24"/>
        </w:rPr>
      </w:pPr>
    </w:p>
    <w:p w:rsidR="006E47BB" w:rsidRDefault="00CE7EB2" w:rsidP="00CE7EB2">
      <w:pPr>
        <w:pStyle w:val="ListParagraph"/>
        <w:numPr>
          <w:ilvl w:val="0"/>
          <w:numId w:val="1"/>
        </w:numPr>
        <w:ind w:right="-720"/>
        <w:rPr>
          <w:b/>
          <w:sz w:val="24"/>
          <w:szCs w:val="24"/>
        </w:rPr>
      </w:pPr>
      <w:r w:rsidRPr="003522DF">
        <w:rPr>
          <w:b/>
          <w:sz w:val="24"/>
          <w:szCs w:val="24"/>
        </w:rPr>
        <w:t>Date of request:</w:t>
      </w:r>
      <w:r w:rsidR="00B04019">
        <w:rPr>
          <w:b/>
          <w:sz w:val="24"/>
          <w:szCs w:val="24"/>
        </w:rPr>
        <w:t xml:space="preserve">  January 29, 2016</w:t>
      </w:r>
      <w:r w:rsidRPr="003522DF">
        <w:rPr>
          <w:b/>
          <w:sz w:val="24"/>
          <w:szCs w:val="24"/>
        </w:rPr>
        <w:t xml:space="preserve">  </w:t>
      </w:r>
    </w:p>
    <w:p w:rsidR="006E47BB" w:rsidRDefault="006E47BB" w:rsidP="006E47BB">
      <w:pPr>
        <w:pStyle w:val="ListParagraph"/>
        <w:ind w:left="420" w:right="-720"/>
        <w:rPr>
          <w:b/>
          <w:sz w:val="24"/>
          <w:szCs w:val="24"/>
        </w:rPr>
      </w:pPr>
    </w:p>
    <w:p w:rsidR="00CE7EB2" w:rsidRDefault="00262DC5" w:rsidP="00CE7EB2">
      <w:pPr>
        <w:pStyle w:val="ListParagraph"/>
        <w:numPr>
          <w:ilvl w:val="0"/>
          <w:numId w:val="1"/>
        </w:numPr>
        <w:ind w:right="-720"/>
        <w:rPr>
          <w:b/>
          <w:sz w:val="24"/>
          <w:szCs w:val="24"/>
        </w:rPr>
      </w:pPr>
      <w:r>
        <w:rPr>
          <w:b/>
          <w:sz w:val="24"/>
          <w:szCs w:val="24"/>
        </w:rPr>
        <w:t>State agency</w:t>
      </w:r>
      <w:r w:rsidR="00DB106F">
        <w:rPr>
          <w:b/>
          <w:sz w:val="24"/>
          <w:szCs w:val="24"/>
        </w:rPr>
        <w:t xml:space="preserve"> staff</w:t>
      </w:r>
      <w:r>
        <w:rPr>
          <w:b/>
          <w:sz w:val="24"/>
          <w:szCs w:val="24"/>
        </w:rPr>
        <w:t xml:space="preserve"> contact (name/email/telephone):</w:t>
      </w:r>
      <w:r w:rsidR="00600C5C">
        <w:rPr>
          <w:b/>
          <w:sz w:val="24"/>
          <w:szCs w:val="24"/>
        </w:rPr>
        <w:t xml:space="preserve">  </w:t>
      </w:r>
      <w:r w:rsidR="003F2B41">
        <w:rPr>
          <w:sz w:val="24"/>
          <w:szCs w:val="24"/>
        </w:rPr>
        <w:t>Barbara Guinn</w:t>
      </w:r>
      <w:r w:rsidR="000C0C2F">
        <w:rPr>
          <w:sz w:val="24"/>
          <w:szCs w:val="24"/>
        </w:rPr>
        <w:t xml:space="preserve"> </w:t>
      </w:r>
      <w:hyperlink r:id="rId13" w:history="1">
        <w:r w:rsidR="003F2B41" w:rsidRPr="000917C6">
          <w:rPr>
            <w:rStyle w:val="Hyperlink"/>
            <w:sz w:val="24"/>
            <w:szCs w:val="24"/>
          </w:rPr>
          <w:t>/BarbaraC.guinn@otda.ny.gov</w:t>
        </w:r>
      </w:hyperlink>
      <w:r w:rsidR="003F2B41">
        <w:rPr>
          <w:sz w:val="24"/>
          <w:szCs w:val="24"/>
        </w:rPr>
        <w:t xml:space="preserve"> / (518) 486-6106</w:t>
      </w:r>
    </w:p>
    <w:p w:rsidR="00CE7EB2" w:rsidRPr="00CE7EB2" w:rsidRDefault="00CE7EB2" w:rsidP="00CE7EB2">
      <w:pPr>
        <w:pStyle w:val="ListParagraph"/>
        <w:rPr>
          <w:b/>
          <w:sz w:val="24"/>
          <w:szCs w:val="24"/>
        </w:rPr>
      </w:pPr>
    </w:p>
    <w:p w:rsidR="008B641C" w:rsidRPr="00CE7EB2" w:rsidRDefault="008B641C" w:rsidP="00CE7EB2">
      <w:pPr>
        <w:pStyle w:val="ListParagraph"/>
        <w:numPr>
          <w:ilvl w:val="0"/>
          <w:numId w:val="1"/>
        </w:numPr>
        <w:ind w:right="-720"/>
        <w:rPr>
          <w:b/>
          <w:sz w:val="24"/>
          <w:szCs w:val="24"/>
        </w:rPr>
      </w:pPr>
      <w:r w:rsidRPr="00CE7EB2">
        <w:rPr>
          <w:b/>
          <w:sz w:val="24"/>
          <w:szCs w:val="24"/>
        </w:rPr>
        <w:t xml:space="preserve">Regional </w:t>
      </w:r>
      <w:r w:rsidR="005D0579" w:rsidRPr="00CE7EB2">
        <w:rPr>
          <w:b/>
          <w:sz w:val="24"/>
          <w:szCs w:val="24"/>
        </w:rPr>
        <w:t>o</w:t>
      </w:r>
      <w:r w:rsidRPr="00CE7EB2">
        <w:rPr>
          <w:b/>
          <w:sz w:val="24"/>
          <w:szCs w:val="24"/>
        </w:rPr>
        <w:t>ffice contact person (</w:t>
      </w:r>
      <w:r w:rsidR="002571A0" w:rsidRPr="00CE7EB2">
        <w:rPr>
          <w:b/>
          <w:i/>
          <w:sz w:val="24"/>
          <w:szCs w:val="24"/>
        </w:rPr>
        <w:t>to be completed by FNS r</w:t>
      </w:r>
      <w:r w:rsidRPr="00CE7EB2">
        <w:rPr>
          <w:b/>
          <w:i/>
          <w:sz w:val="24"/>
          <w:szCs w:val="24"/>
        </w:rPr>
        <w:t xml:space="preserve">egional </w:t>
      </w:r>
      <w:r w:rsidR="005D0579" w:rsidRPr="00CE7EB2">
        <w:rPr>
          <w:b/>
          <w:i/>
          <w:sz w:val="24"/>
          <w:szCs w:val="24"/>
        </w:rPr>
        <w:t>o</w:t>
      </w:r>
      <w:r w:rsidRPr="00CE7EB2">
        <w:rPr>
          <w:b/>
          <w:i/>
          <w:sz w:val="24"/>
          <w:szCs w:val="24"/>
        </w:rPr>
        <w:t>ffice</w:t>
      </w:r>
      <w:r w:rsidRPr="00CE7EB2">
        <w:rPr>
          <w:b/>
          <w:sz w:val="24"/>
          <w:szCs w:val="24"/>
        </w:rPr>
        <w:t>):</w:t>
      </w:r>
      <w:r w:rsidR="00600C5C" w:rsidRPr="00CE7EB2">
        <w:rPr>
          <w:b/>
          <w:sz w:val="24"/>
          <w:szCs w:val="24"/>
        </w:rPr>
        <w:t xml:space="preserve">  </w:t>
      </w:r>
    </w:p>
    <w:sectPr w:rsidR="008B641C" w:rsidRPr="00CE7EB2" w:rsidSect="00894F5F">
      <w:footerReference w:type="defaul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48B" w:rsidRDefault="0059548B" w:rsidP="00A2676B">
      <w:r>
        <w:separator/>
      </w:r>
    </w:p>
  </w:endnote>
  <w:endnote w:type="continuationSeparator" w:id="0">
    <w:p w:rsidR="0059548B" w:rsidRDefault="0059548B" w:rsidP="00A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579" w:rsidRDefault="00854AE1" w:rsidP="00A2676B">
    <w:pPr>
      <w:pStyle w:val="Footer"/>
      <w:jc w:val="right"/>
    </w:pPr>
    <w:r>
      <w:t xml:space="preserve">Rev </w:t>
    </w:r>
    <w:r w:rsidR="000F4109">
      <w:t>10</w:t>
    </w:r>
    <w:r w:rsidR="005D0579">
      <w:t>/201</w:t>
    </w:r>
    <w:r w:rsidR="006A3A89">
      <w:t>3</w:t>
    </w:r>
  </w:p>
  <w:p w:rsidR="005D0579" w:rsidRDefault="005D05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48B" w:rsidRDefault="0059548B" w:rsidP="00A2676B">
      <w:r>
        <w:separator/>
      </w:r>
    </w:p>
  </w:footnote>
  <w:footnote w:type="continuationSeparator" w:id="0">
    <w:p w:rsidR="0059548B" w:rsidRDefault="0059548B" w:rsidP="00A267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4E82"/>
    <w:multiLevelType w:val="hybridMultilevel"/>
    <w:tmpl w:val="436622F2"/>
    <w:lvl w:ilvl="0" w:tplc="D8C21538">
      <w:start w:val="1"/>
      <w:numFmt w:val="low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07310281"/>
    <w:multiLevelType w:val="hybridMultilevel"/>
    <w:tmpl w:val="7EDC5C4E"/>
    <w:lvl w:ilvl="0" w:tplc="04090001">
      <w:start w:val="1"/>
      <w:numFmt w:val="bullet"/>
      <w:lvlText w:val=""/>
      <w:lvlJc w:val="left"/>
      <w:pPr>
        <w:tabs>
          <w:tab w:val="num" w:pos="1720"/>
        </w:tabs>
        <w:ind w:left="1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B7D69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E0B6044"/>
    <w:multiLevelType w:val="hybridMultilevel"/>
    <w:tmpl w:val="34C4962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4536D89"/>
    <w:multiLevelType w:val="singleLevel"/>
    <w:tmpl w:val="F5A66DFC"/>
    <w:lvl w:ilvl="0">
      <w:start w:val="1"/>
      <w:numFmt w:val="upperLetter"/>
      <w:lvlText w:val="%1."/>
      <w:lvlJc w:val="left"/>
      <w:pPr>
        <w:tabs>
          <w:tab w:val="num" w:pos="630"/>
        </w:tabs>
        <w:ind w:left="630" w:hanging="630"/>
      </w:pPr>
    </w:lvl>
  </w:abstractNum>
  <w:abstractNum w:abstractNumId="5">
    <w:nsid w:val="18C860EE"/>
    <w:multiLevelType w:val="hybridMultilevel"/>
    <w:tmpl w:val="18B40F58"/>
    <w:lvl w:ilvl="0" w:tplc="3A7CFFC6">
      <w:start w:val="10"/>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B48610E"/>
    <w:multiLevelType w:val="hybridMultilevel"/>
    <w:tmpl w:val="678826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F60BB3"/>
    <w:multiLevelType w:val="multilevel"/>
    <w:tmpl w:val="760C16D0"/>
    <w:lvl w:ilvl="0">
      <w:start w:val="13"/>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389B45B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3031D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5CF02542"/>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670A2CB1"/>
    <w:multiLevelType w:val="singleLevel"/>
    <w:tmpl w:val="1CB21D7A"/>
    <w:lvl w:ilvl="0">
      <w:start w:val="1"/>
      <w:numFmt w:val="decimal"/>
      <w:lvlText w:val="%1."/>
      <w:lvlJc w:val="left"/>
      <w:pPr>
        <w:tabs>
          <w:tab w:val="num" w:pos="420"/>
        </w:tabs>
        <w:ind w:left="420" w:hanging="420"/>
      </w:pPr>
      <w:rPr>
        <w:b/>
      </w:rPr>
    </w:lvl>
  </w:abstractNum>
  <w:abstractNum w:abstractNumId="12">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A6625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759948DC"/>
    <w:multiLevelType w:val="hybridMultilevel"/>
    <w:tmpl w:val="8EACD55A"/>
    <w:lvl w:ilvl="0" w:tplc="5A02718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nsid w:val="7A625FDC"/>
    <w:multiLevelType w:val="hybridMultilevel"/>
    <w:tmpl w:val="8054A8D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AEA351D"/>
    <w:multiLevelType w:val="hybridMultilevel"/>
    <w:tmpl w:val="436622F2"/>
    <w:lvl w:ilvl="0" w:tplc="D8C21538">
      <w:start w:val="1"/>
      <w:numFmt w:val="low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7BB47102"/>
    <w:multiLevelType w:val="hybridMultilevel"/>
    <w:tmpl w:val="707CB22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1"/>
  </w:num>
  <w:num w:numId="2">
    <w:abstractNumId w:val="7"/>
  </w:num>
  <w:num w:numId="3">
    <w:abstractNumId w:val="13"/>
  </w:num>
  <w:num w:numId="4">
    <w:abstractNumId w:val="9"/>
  </w:num>
  <w:num w:numId="5">
    <w:abstractNumId w:val="8"/>
  </w:num>
  <w:num w:numId="6">
    <w:abstractNumId w:val="2"/>
  </w:num>
  <w:num w:numId="7">
    <w:abstractNumId w:val="4"/>
  </w:num>
  <w:num w:numId="8">
    <w:abstractNumId w:val="1"/>
  </w:num>
  <w:num w:numId="9">
    <w:abstractNumId w:val="3"/>
  </w:num>
  <w:num w:numId="10">
    <w:abstractNumId w:val="17"/>
  </w:num>
  <w:num w:numId="11">
    <w:abstractNumId w:val="6"/>
  </w:num>
  <w:num w:numId="12">
    <w:abstractNumId w:val="15"/>
  </w:num>
  <w:num w:numId="13">
    <w:abstractNumId w:val="5"/>
  </w:num>
  <w:num w:numId="14">
    <w:abstractNumId w:val="10"/>
  </w:num>
  <w:num w:numId="15">
    <w:abstractNumId w:val="12"/>
  </w:num>
  <w:num w:numId="16">
    <w:abstractNumId w:val="16"/>
  </w:num>
  <w:num w:numId="17">
    <w:abstractNumId w:val="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2E2"/>
    <w:rsid w:val="000229B2"/>
    <w:rsid w:val="0002416C"/>
    <w:rsid w:val="000417D6"/>
    <w:rsid w:val="00077E41"/>
    <w:rsid w:val="000A0D86"/>
    <w:rsid w:val="000A2E7F"/>
    <w:rsid w:val="000C0C2F"/>
    <w:rsid w:val="000C2329"/>
    <w:rsid w:val="000D56AB"/>
    <w:rsid w:val="000F4109"/>
    <w:rsid w:val="000F5461"/>
    <w:rsid w:val="00151156"/>
    <w:rsid w:val="00183C13"/>
    <w:rsid w:val="00190D7E"/>
    <w:rsid w:val="001C6C28"/>
    <w:rsid w:val="00203C0A"/>
    <w:rsid w:val="00216294"/>
    <w:rsid w:val="002309C3"/>
    <w:rsid w:val="0025152B"/>
    <w:rsid w:val="002571A0"/>
    <w:rsid w:val="00257304"/>
    <w:rsid w:val="00262DC5"/>
    <w:rsid w:val="002630C2"/>
    <w:rsid w:val="002775DE"/>
    <w:rsid w:val="0028184A"/>
    <w:rsid w:val="0028449F"/>
    <w:rsid w:val="002903D4"/>
    <w:rsid w:val="00292FB4"/>
    <w:rsid w:val="002B443C"/>
    <w:rsid w:val="00313772"/>
    <w:rsid w:val="0033064F"/>
    <w:rsid w:val="00351D60"/>
    <w:rsid w:val="003522DF"/>
    <w:rsid w:val="003B69EC"/>
    <w:rsid w:val="003E7D46"/>
    <w:rsid w:val="003F1066"/>
    <w:rsid w:val="003F2B41"/>
    <w:rsid w:val="004051B1"/>
    <w:rsid w:val="00423E27"/>
    <w:rsid w:val="00462E36"/>
    <w:rsid w:val="0048676B"/>
    <w:rsid w:val="004C0BCF"/>
    <w:rsid w:val="004D2EA1"/>
    <w:rsid w:val="004F21D9"/>
    <w:rsid w:val="004F4877"/>
    <w:rsid w:val="00522BDD"/>
    <w:rsid w:val="005354BC"/>
    <w:rsid w:val="005372FA"/>
    <w:rsid w:val="00552284"/>
    <w:rsid w:val="005576DF"/>
    <w:rsid w:val="0057350F"/>
    <w:rsid w:val="0059548B"/>
    <w:rsid w:val="005A0532"/>
    <w:rsid w:val="005B152D"/>
    <w:rsid w:val="005D0579"/>
    <w:rsid w:val="006004F0"/>
    <w:rsid w:val="00600C5C"/>
    <w:rsid w:val="00610221"/>
    <w:rsid w:val="00631D07"/>
    <w:rsid w:val="00656A81"/>
    <w:rsid w:val="00663C2F"/>
    <w:rsid w:val="00696D74"/>
    <w:rsid w:val="006A3A89"/>
    <w:rsid w:val="006B28CB"/>
    <w:rsid w:val="006B379B"/>
    <w:rsid w:val="006E47BB"/>
    <w:rsid w:val="0071510E"/>
    <w:rsid w:val="0071744B"/>
    <w:rsid w:val="007772E2"/>
    <w:rsid w:val="00792366"/>
    <w:rsid w:val="007B2FEA"/>
    <w:rsid w:val="007C0E21"/>
    <w:rsid w:val="007D0BCA"/>
    <w:rsid w:val="0082269F"/>
    <w:rsid w:val="00824027"/>
    <w:rsid w:val="008527F0"/>
    <w:rsid w:val="00854AE1"/>
    <w:rsid w:val="00861328"/>
    <w:rsid w:val="00882E3D"/>
    <w:rsid w:val="00883070"/>
    <w:rsid w:val="008847C6"/>
    <w:rsid w:val="00894F5F"/>
    <w:rsid w:val="008B641C"/>
    <w:rsid w:val="008B6637"/>
    <w:rsid w:val="008C093E"/>
    <w:rsid w:val="008C3B5E"/>
    <w:rsid w:val="008F2472"/>
    <w:rsid w:val="00975C19"/>
    <w:rsid w:val="00994DBA"/>
    <w:rsid w:val="009A1007"/>
    <w:rsid w:val="009F16B3"/>
    <w:rsid w:val="00A07852"/>
    <w:rsid w:val="00A2676B"/>
    <w:rsid w:val="00A83654"/>
    <w:rsid w:val="00AD264A"/>
    <w:rsid w:val="00B04019"/>
    <w:rsid w:val="00B161A6"/>
    <w:rsid w:val="00B555FE"/>
    <w:rsid w:val="00B77579"/>
    <w:rsid w:val="00B9231B"/>
    <w:rsid w:val="00BC03FA"/>
    <w:rsid w:val="00C07BEE"/>
    <w:rsid w:val="00C327F6"/>
    <w:rsid w:val="00C43E19"/>
    <w:rsid w:val="00CB39E9"/>
    <w:rsid w:val="00CB43CB"/>
    <w:rsid w:val="00CC0CF4"/>
    <w:rsid w:val="00CE7EB2"/>
    <w:rsid w:val="00D00976"/>
    <w:rsid w:val="00D00A8A"/>
    <w:rsid w:val="00D231AD"/>
    <w:rsid w:val="00D2448A"/>
    <w:rsid w:val="00D408A5"/>
    <w:rsid w:val="00D54FE6"/>
    <w:rsid w:val="00D56064"/>
    <w:rsid w:val="00D70A97"/>
    <w:rsid w:val="00DB106F"/>
    <w:rsid w:val="00DC0EA5"/>
    <w:rsid w:val="00DD13CD"/>
    <w:rsid w:val="00DD77DF"/>
    <w:rsid w:val="00DF632A"/>
    <w:rsid w:val="00E37E65"/>
    <w:rsid w:val="00E457EE"/>
    <w:rsid w:val="00E46410"/>
    <w:rsid w:val="00E501DD"/>
    <w:rsid w:val="00E73DA7"/>
    <w:rsid w:val="00E96206"/>
    <w:rsid w:val="00EE45EB"/>
    <w:rsid w:val="00F075EE"/>
    <w:rsid w:val="00F41081"/>
    <w:rsid w:val="00F42ED4"/>
    <w:rsid w:val="00F712BF"/>
    <w:rsid w:val="00F7505E"/>
    <w:rsid w:val="00F76B31"/>
    <w:rsid w:val="00FB50CA"/>
    <w:rsid w:val="00FC3ACB"/>
    <w:rsid w:val="00FC65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2E2"/>
  </w:style>
  <w:style w:type="paragraph" w:styleId="Heading1">
    <w:name w:val="heading 1"/>
    <w:basedOn w:val="Normal"/>
    <w:next w:val="Normal"/>
    <w:qFormat/>
    <w:rsid w:val="007772E2"/>
    <w:pPr>
      <w:keepNext/>
      <w:jc w:val="center"/>
      <w:outlineLvl w:val="0"/>
    </w:pPr>
    <w:rPr>
      <w:b/>
      <w:sz w:val="24"/>
    </w:rPr>
  </w:style>
  <w:style w:type="paragraph" w:styleId="Heading2">
    <w:name w:val="heading 2"/>
    <w:basedOn w:val="Normal"/>
    <w:next w:val="Normal"/>
    <w:qFormat/>
    <w:rsid w:val="007772E2"/>
    <w:pPr>
      <w:keepNext/>
      <w:ind w:left="420" w:right="-72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7772E2"/>
    <w:pPr>
      <w:ind w:left="450"/>
    </w:pPr>
    <w:rPr>
      <w:sz w:val="24"/>
    </w:rPr>
  </w:style>
  <w:style w:type="paragraph" w:styleId="BodyTextIndent3">
    <w:name w:val="Body Text Indent 3"/>
    <w:basedOn w:val="Normal"/>
    <w:rsid w:val="007772E2"/>
    <w:pPr>
      <w:tabs>
        <w:tab w:val="left" w:pos="450"/>
      </w:tabs>
      <w:ind w:left="360"/>
    </w:pPr>
    <w:rPr>
      <w:sz w:val="24"/>
    </w:rPr>
  </w:style>
  <w:style w:type="paragraph" w:styleId="BalloonText">
    <w:name w:val="Balloon Text"/>
    <w:basedOn w:val="Normal"/>
    <w:semiHidden/>
    <w:rsid w:val="001C6C28"/>
    <w:rPr>
      <w:rFonts w:ascii="Tahoma" w:hAnsi="Tahoma" w:cs="Tahoma"/>
      <w:sz w:val="16"/>
      <w:szCs w:val="16"/>
    </w:rPr>
  </w:style>
  <w:style w:type="paragraph" w:styleId="Header">
    <w:name w:val="header"/>
    <w:basedOn w:val="Normal"/>
    <w:link w:val="HeaderChar"/>
    <w:rsid w:val="00A2676B"/>
    <w:pPr>
      <w:tabs>
        <w:tab w:val="center" w:pos="4680"/>
        <w:tab w:val="right" w:pos="9360"/>
      </w:tabs>
    </w:pPr>
  </w:style>
  <w:style w:type="character" w:customStyle="1" w:styleId="HeaderChar">
    <w:name w:val="Header Char"/>
    <w:basedOn w:val="DefaultParagraphFont"/>
    <w:link w:val="Header"/>
    <w:rsid w:val="00A2676B"/>
  </w:style>
  <w:style w:type="paragraph" w:styleId="Footer">
    <w:name w:val="footer"/>
    <w:basedOn w:val="Normal"/>
    <w:link w:val="FooterChar"/>
    <w:uiPriority w:val="99"/>
    <w:rsid w:val="00A2676B"/>
    <w:pPr>
      <w:tabs>
        <w:tab w:val="center" w:pos="4680"/>
        <w:tab w:val="right" w:pos="9360"/>
      </w:tabs>
    </w:pPr>
  </w:style>
  <w:style w:type="character" w:customStyle="1" w:styleId="FooterChar">
    <w:name w:val="Footer Char"/>
    <w:basedOn w:val="DefaultParagraphFont"/>
    <w:link w:val="Footer"/>
    <w:uiPriority w:val="99"/>
    <w:rsid w:val="00A2676B"/>
  </w:style>
  <w:style w:type="paragraph" w:styleId="ListParagraph">
    <w:name w:val="List Paragraph"/>
    <w:basedOn w:val="Normal"/>
    <w:uiPriority w:val="34"/>
    <w:qFormat/>
    <w:rsid w:val="00A2676B"/>
    <w:pPr>
      <w:ind w:left="720"/>
    </w:pPr>
  </w:style>
  <w:style w:type="character" w:styleId="CommentReference">
    <w:name w:val="annotation reference"/>
    <w:basedOn w:val="DefaultParagraphFont"/>
    <w:rsid w:val="003B69EC"/>
    <w:rPr>
      <w:sz w:val="16"/>
      <w:szCs w:val="16"/>
    </w:rPr>
  </w:style>
  <w:style w:type="paragraph" w:styleId="CommentText">
    <w:name w:val="annotation text"/>
    <w:basedOn w:val="Normal"/>
    <w:link w:val="CommentTextChar"/>
    <w:rsid w:val="003B69EC"/>
  </w:style>
  <w:style w:type="character" w:customStyle="1" w:styleId="CommentTextChar">
    <w:name w:val="Comment Text Char"/>
    <w:basedOn w:val="DefaultParagraphFont"/>
    <w:link w:val="CommentText"/>
    <w:rsid w:val="003B69EC"/>
  </w:style>
  <w:style w:type="paragraph" w:styleId="CommentSubject">
    <w:name w:val="annotation subject"/>
    <w:basedOn w:val="CommentText"/>
    <w:next w:val="CommentText"/>
    <w:link w:val="CommentSubjectChar"/>
    <w:rsid w:val="003B69EC"/>
    <w:rPr>
      <w:b/>
      <w:bCs/>
    </w:rPr>
  </w:style>
  <w:style w:type="character" w:customStyle="1" w:styleId="CommentSubjectChar">
    <w:name w:val="Comment Subject Char"/>
    <w:basedOn w:val="CommentTextChar"/>
    <w:link w:val="CommentSubject"/>
    <w:rsid w:val="003B69EC"/>
    <w:rPr>
      <w:b/>
      <w:bCs/>
    </w:rPr>
  </w:style>
  <w:style w:type="paragraph" w:styleId="Revision">
    <w:name w:val="Revision"/>
    <w:hidden/>
    <w:uiPriority w:val="99"/>
    <w:semiHidden/>
    <w:rsid w:val="00C327F6"/>
  </w:style>
  <w:style w:type="paragraph" w:styleId="FootnoteText">
    <w:name w:val="footnote text"/>
    <w:basedOn w:val="Normal"/>
    <w:link w:val="FootnoteTextChar"/>
    <w:semiHidden/>
    <w:unhideWhenUsed/>
    <w:rsid w:val="007D0BCA"/>
  </w:style>
  <w:style w:type="character" w:customStyle="1" w:styleId="FootnoteTextChar">
    <w:name w:val="Footnote Text Char"/>
    <w:basedOn w:val="DefaultParagraphFont"/>
    <w:link w:val="FootnoteText"/>
    <w:semiHidden/>
    <w:rsid w:val="007D0BCA"/>
  </w:style>
  <w:style w:type="character" w:styleId="FootnoteReference">
    <w:name w:val="footnote reference"/>
    <w:basedOn w:val="DefaultParagraphFont"/>
    <w:semiHidden/>
    <w:unhideWhenUsed/>
    <w:rsid w:val="007D0BCA"/>
    <w:rPr>
      <w:vertAlign w:val="superscript"/>
    </w:rPr>
  </w:style>
  <w:style w:type="character" w:styleId="Hyperlink">
    <w:name w:val="Hyperlink"/>
    <w:basedOn w:val="DefaultParagraphFont"/>
    <w:unhideWhenUsed/>
    <w:rsid w:val="007D0BCA"/>
    <w:rPr>
      <w:color w:val="0000FF" w:themeColor="hyperlink"/>
      <w:u w:val="single"/>
    </w:rPr>
  </w:style>
  <w:style w:type="character" w:styleId="FollowedHyperlink">
    <w:name w:val="FollowedHyperlink"/>
    <w:basedOn w:val="DefaultParagraphFont"/>
    <w:semiHidden/>
    <w:unhideWhenUsed/>
    <w:rsid w:val="00B161A6"/>
    <w:rPr>
      <w:color w:val="800080" w:themeColor="followedHyperlink"/>
      <w:u w:val="single"/>
    </w:rPr>
  </w:style>
  <w:style w:type="paragraph" w:styleId="NormalWeb">
    <w:name w:val="Normal (Web)"/>
    <w:basedOn w:val="Normal"/>
    <w:uiPriority w:val="99"/>
    <w:unhideWhenUsed/>
    <w:rsid w:val="00522BDD"/>
    <w:rPr>
      <w:rFonts w:eastAsiaTheme="minorHAns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2E2"/>
  </w:style>
  <w:style w:type="paragraph" w:styleId="Heading1">
    <w:name w:val="heading 1"/>
    <w:basedOn w:val="Normal"/>
    <w:next w:val="Normal"/>
    <w:qFormat/>
    <w:rsid w:val="007772E2"/>
    <w:pPr>
      <w:keepNext/>
      <w:jc w:val="center"/>
      <w:outlineLvl w:val="0"/>
    </w:pPr>
    <w:rPr>
      <w:b/>
      <w:sz w:val="24"/>
    </w:rPr>
  </w:style>
  <w:style w:type="paragraph" w:styleId="Heading2">
    <w:name w:val="heading 2"/>
    <w:basedOn w:val="Normal"/>
    <w:next w:val="Normal"/>
    <w:qFormat/>
    <w:rsid w:val="007772E2"/>
    <w:pPr>
      <w:keepNext/>
      <w:ind w:left="420" w:right="-72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7772E2"/>
    <w:pPr>
      <w:ind w:left="450"/>
    </w:pPr>
    <w:rPr>
      <w:sz w:val="24"/>
    </w:rPr>
  </w:style>
  <w:style w:type="paragraph" w:styleId="BodyTextIndent3">
    <w:name w:val="Body Text Indent 3"/>
    <w:basedOn w:val="Normal"/>
    <w:rsid w:val="007772E2"/>
    <w:pPr>
      <w:tabs>
        <w:tab w:val="left" w:pos="450"/>
      </w:tabs>
      <w:ind w:left="360"/>
    </w:pPr>
    <w:rPr>
      <w:sz w:val="24"/>
    </w:rPr>
  </w:style>
  <w:style w:type="paragraph" w:styleId="BalloonText">
    <w:name w:val="Balloon Text"/>
    <w:basedOn w:val="Normal"/>
    <w:semiHidden/>
    <w:rsid w:val="001C6C28"/>
    <w:rPr>
      <w:rFonts w:ascii="Tahoma" w:hAnsi="Tahoma" w:cs="Tahoma"/>
      <w:sz w:val="16"/>
      <w:szCs w:val="16"/>
    </w:rPr>
  </w:style>
  <w:style w:type="paragraph" w:styleId="Header">
    <w:name w:val="header"/>
    <w:basedOn w:val="Normal"/>
    <w:link w:val="HeaderChar"/>
    <w:rsid w:val="00A2676B"/>
    <w:pPr>
      <w:tabs>
        <w:tab w:val="center" w:pos="4680"/>
        <w:tab w:val="right" w:pos="9360"/>
      </w:tabs>
    </w:pPr>
  </w:style>
  <w:style w:type="character" w:customStyle="1" w:styleId="HeaderChar">
    <w:name w:val="Header Char"/>
    <w:basedOn w:val="DefaultParagraphFont"/>
    <w:link w:val="Header"/>
    <w:rsid w:val="00A2676B"/>
  </w:style>
  <w:style w:type="paragraph" w:styleId="Footer">
    <w:name w:val="footer"/>
    <w:basedOn w:val="Normal"/>
    <w:link w:val="FooterChar"/>
    <w:uiPriority w:val="99"/>
    <w:rsid w:val="00A2676B"/>
    <w:pPr>
      <w:tabs>
        <w:tab w:val="center" w:pos="4680"/>
        <w:tab w:val="right" w:pos="9360"/>
      </w:tabs>
    </w:pPr>
  </w:style>
  <w:style w:type="character" w:customStyle="1" w:styleId="FooterChar">
    <w:name w:val="Footer Char"/>
    <w:basedOn w:val="DefaultParagraphFont"/>
    <w:link w:val="Footer"/>
    <w:uiPriority w:val="99"/>
    <w:rsid w:val="00A2676B"/>
  </w:style>
  <w:style w:type="paragraph" w:styleId="ListParagraph">
    <w:name w:val="List Paragraph"/>
    <w:basedOn w:val="Normal"/>
    <w:uiPriority w:val="34"/>
    <w:qFormat/>
    <w:rsid w:val="00A2676B"/>
    <w:pPr>
      <w:ind w:left="720"/>
    </w:pPr>
  </w:style>
  <w:style w:type="character" w:styleId="CommentReference">
    <w:name w:val="annotation reference"/>
    <w:basedOn w:val="DefaultParagraphFont"/>
    <w:rsid w:val="003B69EC"/>
    <w:rPr>
      <w:sz w:val="16"/>
      <w:szCs w:val="16"/>
    </w:rPr>
  </w:style>
  <w:style w:type="paragraph" w:styleId="CommentText">
    <w:name w:val="annotation text"/>
    <w:basedOn w:val="Normal"/>
    <w:link w:val="CommentTextChar"/>
    <w:rsid w:val="003B69EC"/>
  </w:style>
  <w:style w:type="character" w:customStyle="1" w:styleId="CommentTextChar">
    <w:name w:val="Comment Text Char"/>
    <w:basedOn w:val="DefaultParagraphFont"/>
    <w:link w:val="CommentText"/>
    <w:rsid w:val="003B69EC"/>
  </w:style>
  <w:style w:type="paragraph" w:styleId="CommentSubject">
    <w:name w:val="annotation subject"/>
    <w:basedOn w:val="CommentText"/>
    <w:next w:val="CommentText"/>
    <w:link w:val="CommentSubjectChar"/>
    <w:rsid w:val="003B69EC"/>
    <w:rPr>
      <w:b/>
      <w:bCs/>
    </w:rPr>
  </w:style>
  <w:style w:type="character" w:customStyle="1" w:styleId="CommentSubjectChar">
    <w:name w:val="Comment Subject Char"/>
    <w:basedOn w:val="CommentTextChar"/>
    <w:link w:val="CommentSubject"/>
    <w:rsid w:val="003B69EC"/>
    <w:rPr>
      <w:b/>
      <w:bCs/>
    </w:rPr>
  </w:style>
  <w:style w:type="paragraph" w:styleId="Revision">
    <w:name w:val="Revision"/>
    <w:hidden/>
    <w:uiPriority w:val="99"/>
    <w:semiHidden/>
    <w:rsid w:val="00C327F6"/>
  </w:style>
  <w:style w:type="paragraph" w:styleId="FootnoteText">
    <w:name w:val="footnote text"/>
    <w:basedOn w:val="Normal"/>
    <w:link w:val="FootnoteTextChar"/>
    <w:semiHidden/>
    <w:unhideWhenUsed/>
    <w:rsid w:val="007D0BCA"/>
  </w:style>
  <w:style w:type="character" w:customStyle="1" w:styleId="FootnoteTextChar">
    <w:name w:val="Footnote Text Char"/>
    <w:basedOn w:val="DefaultParagraphFont"/>
    <w:link w:val="FootnoteText"/>
    <w:semiHidden/>
    <w:rsid w:val="007D0BCA"/>
  </w:style>
  <w:style w:type="character" w:styleId="FootnoteReference">
    <w:name w:val="footnote reference"/>
    <w:basedOn w:val="DefaultParagraphFont"/>
    <w:semiHidden/>
    <w:unhideWhenUsed/>
    <w:rsid w:val="007D0BCA"/>
    <w:rPr>
      <w:vertAlign w:val="superscript"/>
    </w:rPr>
  </w:style>
  <w:style w:type="character" w:styleId="Hyperlink">
    <w:name w:val="Hyperlink"/>
    <w:basedOn w:val="DefaultParagraphFont"/>
    <w:unhideWhenUsed/>
    <w:rsid w:val="007D0BCA"/>
    <w:rPr>
      <w:color w:val="0000FF" w:themeColor="hyperlink"/>
      <w:u w:val="single"/>
    </w:rPr>
  </w:style>
  <w:style w:type="character" w:styleId="FollowedHyperlink">
    <w:name w:val="FollowedHyperlink"/>
    <w:basedOn w:val="DefaultParagraphFont"/>
    <w:semiHidden/>
    <w:unhideWhenUsed/>
    <w:rsid w:val="00B161A6"/>
    <w:rPr>
      <w:color w:val="800080" w:themeColor="followedHyperlink"/>
      <w:u w:val="single"/>
    </w:rPr>
  </w:style>
  <w:style w:type="paragraph" w:styleId="NormalWeb">
    <w:name w:val="Normal (Web)"/>
    <w:basedOn w:val="Normal"/>
    <w:uiPriority w:val="99"/>
    <w:unhideWhenUsed/>
    <w:rsid w:val="00522BDD"/>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548285">
      <w:bodyDiv w:val="1"/>
      <w:marLeft w:val="0"/>
      <w:marRight w:val="0"/>
      <w:marTop w:val="0"/>
      <w:marBottom w:val="0"/>
      <w:divBdr>
        <w:top w:val="none" w:sz="0" w:space="0" w:color="auto"/>
        <w:left w:val="none" w:sz="0" w:space="0" w:color="auto"/>
        <w:bottom w:val="none" w:sz="0" w:space="0" w:color="auto"/>
        <w:right w:val="none" w:sz="0" w:space="0" w:color="auto"/>
      </w:divBdr>
    </w:div>
    <w:div w:id="312103699">
      <w:bodyDiv w:val="1"/>
      <w:marLeft w:val="0"/>
      <w:marRight w:val="0"/>
      <w:marTop w:val="0"/>
      <w:marBottom w:val="0"/>
      <w:divBdr>
        <w:top w:val="none" w:sz="0" w:space="0" w:color="auto"/>
        <w:left w:val="none" w:sz="0" w:space="0" w:color="auto"/>
        <w:bottom w:val="none" w:sz="0" w:space="0" w:color="auto"/>
        <w:right w:val="none" w:sz="0" w:space="0" w:color="auto"/>
      </w:divBdr>
    </w:div>
    <w:div w:id="328024641">
      <w:bodyDiv w:val="1"/>
      <w:marLeft w:val="0"/>
      <w:marRight w:val="0"/>
      <w:marTop w:val="0"/>
      <w:marBottom w:val="0"/>
      <w:divBdr>
        <w:top w:val="none" w:sz="0" w:space="0" w:color="auto"/>
        <w:left w:val="none" w:sz="0" w:space="0" w:color="auto"/>
        <w:bottom w:val="none" w:sz="0" w:space="0" w:color="auto"/>
        <w:right w:val="none" w:sz="0" w:space="0" w:color="auto"/>
      </w:divBdr>
    </w:div>
    <w:div w:id="949580390">
      <w:bodyDiv w:val="1"/>
      <w:marLeft w:val="0"/>
      <w:marRight w:val="0"/>
      <w:marTop w:val="0"/>
      <w:marBottom w:val="0"/>
      <w:divBdr>
        <w:top w:val="none" w:sz="0" w:space="0" w:color="auto"/>
        <w:left w:val="none" w:sz="0" w:space="0" w:color="auto"/>
        <w:bottom w:val="none" w:sz="0" w:space="0" w:color="auto"/>
        <w:right w:val="none" w:sz="0" w:space="0" w:color="auto"/>
      </w:divBdr>
    </w:div>
    <w:div w:id="1004089622">
      <w:bodyDiv w:val="1"/>
      <w:marLeft w:val="0"/>
      <w:marRight w:val="0"/>
      <w:marTop w:val="0"/>
      <w:marBottom w:val="0"/>
      <w:divBdr>
        <w:top w:val="none" w:sz="0" w:space="0" w:color="auto"/>
        <w:left w:val="none" w:sz="0" w:space="0" w:color="auto"/>
        <w:bottom w:val="none" w:sz="0" w:space="0" w:color="auto"/>
        <w:right w:val="none" w:sz="0" w:space="0" w:color="auto"/>
      </w:divBdr>
    </w:div>
    <w:div w:id="1014455130">
      <w:bodyDiv w:val="1"/>
      <w:marLeft w:val="0"/>
      <w:marRight w:val="0"/>
      <w:marTop w:val="0"/>
      <w:marBottom w:val="0"/>
      <w:divBdr>
        <w:top w:val="none" w:sz="0" w:space="0" w:color="auto"/>
        <w:left w:val="none" w:sz="0" w:space="0" w:color="auto"/>
        <w:bottom w:val="none" w:sz="0" w:space="0" w:color="auto"/>
        <w:right w:val="none" w:sz="0" w:space="0" w:color="auto"/>
      </w:divBdr>
    </w:div>
    <w:div w:id="1171289277">
      <w:bodyDiv w:val="1"/>
      <w:marLeft w:val="0"/>
      <w:marRight w:val="0"/>
      <w:marTop w:val="0"/>
      <w:marBottom w:val="0"/>
      <w:divBdr>
        <w:top w:val="none" w:sz="0" w:space="0" w:color="auto"/>
        <w:left w:val="none" w:sz="0" w:space="0" w:color="auto"/>
        <w:bottom w:val="none" w:sz="0" w:space="0" w:color="auto"/>
        <w:right w:val="none" w:sz="0" w:space="0" w:color="auto"/>
      </w:divBdr>
    </w:div>
    <w:div w:id="1260331633">
      <w:bodyDiv w:val="1"/>
      <w:marLeft w:val="0"/>
      <w:marRight w:val="0"/>
      <w:marTop w:val="0"/>
      <w:marBottom w:val="0"/>
      <w:divBdr>
        <w:top w:val="none" w:sz="0" w:space="0" w:color="auto"/>
        <w:left w:val="none" w:sz="0" w:space="0" w:color="auto"/>
        <w:bottom w:val="none" w:sz="0" w:space="0" w:color="auto"/>
        <w:right w:val="none" w:sz="0" w:space="0" w:color="auto"/>
      </w:divBdr>
    </w:div>
    <w:div w:id="1348941785">
      <w:bodyDiv w:val="1"/>
      <w:marLeft w:val="0"/>
      <w:marRight w:val="0"/>
      <w:marTop w:val="0"/>
      <w:marBottom w:val="0"/>
      <w:divBdr>
        <w:top w:val="none" w:sz="0" w:space="0" w:color="auto"/>
        <w:left w:val="none" w:sz="0" w:space="0" w:color="auto"/>
        <w:bottom w:val="none" w:sz="0" w:space="0" w:color="auto"/>
        <w:right w:val="none" w:sz="0" w:space="0" w:color="auto"/>
      </w:divBdr>
    </w:div>
    <w:div w:id="1382746712">
      <w:bodyDiv w:val="1"/>
      <w:marLeft w:val="0"/>
      <w:marRight w:val="0"/>
      <w:marTop w:val="0"/>
      <w:marBottom w:val="0"/>
      <w:divBdr>
        <w:top w:val="none" w:sz="0" w:space="0" w:color="auto"/>
        <w:left w:val="none" w:sz="0" w:space="0" w:color="auto"/>
        <w:bottom w:val="none" w:sz="0" w:space="0" w:color="auto"/>
        <w:right w:val="none" w:sz="0" w:space="0" w:color="auto"/>
      </w:divBdr>
    </w:div>
    <w:div w:id="1523088709">
      <w:bodyDiv w:val="1"/>
      <w:marLeft w:val="0"/>
      <w:marRight w:val="0"/>
      <w:marTop w:val="0"/>
      <w:marBottom w:val="0"/>
      <w:divBdr>
        <w:top w:val="none" w:sz="0" w:space="0" w:color="auto"/>
        <w:left w:val="none" w:sz="0" w:space="0" w:color="auto"/>
        <w:bottom w:val="none" w:sz="0" w:space="0" w:color="auto"/>
        <w:right w:val="none" w:sz="0" w:space="0" w:color="auto"/>
      </w:divBdr>
    </w:div>
    <w:div w:id="1566066882">
      <w:bodyDiv w:val="1"/>
      <w:marLeft w:val="0"/>
      <w:marRight w:val="0"/>
      <w:marTop w:val="0"/>
      <w:marBottom w:val="0"/>
      <w:divBdr>
        <w:top w:val="none" w:sz="0" w:space="0" w:color="auto"/>
        <w:left w:val="none" w:sz="0" w:space="0" w:color="auto"/>
        <w:bottom w:val="none" w:sz="0" w:space="0" w:color="auto"/>
        <w:right w:val="none" w:sz="0" w:space="0" w:color="auto"/>
      </w:divBdr>
    </w:div>
    <w:div w:id="1697927677">
      <w:bodyDiv w:val="1"/>
      <w:marLeft w:val="0"/>
      <w:marRight w:val="0"/>
      <w:marTop w:val="0"/>
      <w:marBottom w:val="0"/>
      <w:divBdr>
        <w:top w:val="none" w:sz="0" w:space="0" w:color="auto"/>
        <w:left w:val="none" w:sz="0" w:space="0" w:color="auto"/>
        <w:bottom w:val="none" w:sz="0" w:space="0" w:color="auto"/>
        <w:right w:val="none" w:sz="0" w:space="0" w:color="auto"/>
      </w:divBdr>
    </w:div>
    <w:div w:id="1706757563">
      <w:bodyDiv w:val="1"/>
      <w:marLeft w:val="0"/>
      <w:marRight w:val="0"/>
      <w:marTop w:val="0"/>
      <w:marBottom w:val="0"/>
      <w:divBdr>
        <w:top w:val="none" w:sz="0" w:space="0" w:color="auto"/>
        <w:left w:val="none" w:sz="0" w:space="0" w:color="auto"/>
        <w:bottom w:val="none" w:sz="0" w:space="0" w:color="auto"/>
        <w:right w:val="none" w:sz="0" w:space="0" w:color="auto"/>
      </w:divBdr>
    </w:div>
    <w:div w:id="178450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arbaraC.guinn@otda.ny.gov"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Phyllis.Morris@otda.ny.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C1B1919D80F4F842DFD2E026D71E9" ma:contentTypeVersion="1" ma:contentTypeDescription="Create a new document." ma:contentTypeScope="" ma:versionID="5ad32e6e23c03588bc9395a36a9163b7">
  <xsd:schema xmlns:xsd="http://www.w3.org/2001/XMLSchema" xmlns:p="http://schemas.microsoft.com/office/2006/metadata/properties" xmlns:ns2="4ab2823e-dbd2-424a-ab3e-c90e66e67230" targetNamespace="http://schemas.microsoft.com/office/2006/metadata/properties" ma:root="true" ma:fieldsID="3ac10a40bf02ff8769d16aa7acb2ffb3" ns2:_="">
    <xsd:import namespace="4ab2823e-dbd2-424a-ab3e-c90e66e67230"/>
    <xsd:element name="properties">
      <xsd:complexType>
        <xsd:sequence>
          <xsd:element name="documentManagement">
            <xsd:complexType>
              <xsd:all>
                <xsd:element ref="ns2:Description0"/>
              </xsd:all>
            </xsd:complexType>
          </xsd:element>
        </xsd:sequence>
      </xsd:complexType>
    </xsd:element>
  </xsd:schema>
  <xsd:schema xmlns:xsd="http://www.w3.org/2001/XMLSchema" xmlns:dms="http://schemas.microsoft.com/office/2006/documentManagement/types" targetNamespace="4ab2823e-dbd2-424a-ab3e-c90e66e67230" elementFormDefault="qualified">
    <xsd:import namespace="http://schemas.microsoft.com/office/2006/documentManagement/types"/>
    <xsd:element name="Description0" ma:index="8" ma:displayName="Description" ma:internalName="Description0">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Description0 xmlns="4ab2823e-dbd2-424a-ab3e-c90e66e67230">Form for State's to use when requesting a waiver</Description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9DF1E-E984-4C9C-96E8-FBDEBFF158CA}">
  <ds:schemaRefs>
    <ds:schemaRef ds:uri="http://schemas.microsoft.com/sharepoint/v3/contenttype/forms"/>
  </ds:schemaRefs>
</ds:datastoreItem>
</file>

<file path=customXml/itemProps2.xml><?xml version="1.0" encoding="utf-8"?>
<ds:datastoreItem xmlns:ds="http://schemas.openxmlformats.org/officeDocument/2006/customXml" ds:itemID="{966917EB-6D12-42E4-B83E-C0C4F7D55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b2823e-dbd2-424a-ab3e-c90e66e6723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4332638-FAF5-4D5E-8348-72C9A8C35D67}">
  <ds:schemaRefs>
    <ds:schemaRef ds:uri="http://schemas.microsoft.com/office/2006/metadata/properties"/>
    <ds:schemaRef ds:uri="4ab2823e-dbd2-424a-ab3e-c90e66e67230"/>
  </ds:schemaRefs>
</ds:datastoreItem>
</file>

<file path=customXml/itemProps4.xml><?xml version="1.0" encoding="utf-8"?>
<ds:datastoreItem xmlns:ds="http://schemas.openxmlformats.org/officeDocument/2006/customXml" ds:itemID="{80AB6BD5-53A1-4764-AB6B-5DDB01EB4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WAIVER REQUEST</vt:lpstr>
    </vt:vector>
  </TitlesOfParts>
  <Company>USDA</Company>
  <LinksUpToDate>false</LinksUpToDate>
  <CharactersWithSpaces>5828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WAIVER REQUEST</dc:title>
  <dc:creator>ITD</dc:creator>
  <cp:lastModifiedBy>McCarron, Janine   (OTDA)</cp:lastModifiedBy>
  <cp:revision>3</cp:revision>
  <cp:lastPrinted>2015-09-15T19:07:00Z</cp:lastPrinted>
  <dcterms:created xsi:type="dcterms:W3CDTF">2016-01-20T14:48:00Z</dcterms:created>
  <dcterms:modified xsi:type="dcterms:W3CDTF">2016-01-29T16:19:00Z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0x010100931C1B1919D80F4F842DFD2E026D71E9</vt:lpwstr>
  </property>
</Properties>
</file>